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67BE91D6" w:rsidR="00A5477D" w:rsidRDefault="00974D6D" w:rsidP="00E20F03">
      <w:pPr>
        <w:autoSpaceDE w:val="0"/>
        <w:autoSpaceDN w:val="0"/>
        <w:adjustRightInd w:val="0"/>
        <w:ind w:left="0" w:right="-573"/>
        <w:rPr>
          <w:rFonts w:ascii="Verdana" w:hAnsi="Verdana" w:cs="Arial"/>
          <w:sz w:val="44"/>
          <w:szCs w:val="44"/>
        </w:rPr>
      </w:pPr>
      <w:r>
        <w:rPr>
          <w:rFonts w:ascii="Verdana" w:hAnsi="Verdana" w:cs="Arial"/>
          <w:sz w:val="44"/>
          <w:szCs w:val="44"/>
        </w:rPr>
        <w:t>Optimierter</w:t>
      </w:r>
      <w:r w:rsidR="00936F47" w:rsidRPr="00936F47">
        <w:rPr>
          <w:rFonts w:ascii="Verdana" w:hAnsi="Verdana" w:cs="Arial"/>
          <w:sz w:val="44"/>
          <w:szCs w:val="44"/>
        </w:rPr>
        <w:t xml:space="preserve"> WGB.2 Brennwertkessel – ideal für hybride Lösungen</w:t>
      </w:r>
    </w:p>
    <w:p w14:paraId="5826CC25" w14:textId="77777777" w:rsidR="00936F47" w:rsidRPr="0078638E" w:rsidRDefault="00936F47" w:rsidP="00E20F03">
      <w:pPr>
        <w:autoSpaceDE w:val="0"/>
        <w:autoSpaceDN w:val="0"/>
        <w:adjustRightInd w:val="0"/>
        <w:ind w:left="0" w:right="-573"/>
        <w:rPr>
          <w:rFonts w:ascii="Verdana" w:hAnsi="Verdana" w:cs="Arial"/>
          <w:b/>
          <w:bCs/>
          <w:sz w:val="34"/>
          <w:szCs w:val="34"/>
        </w:rPr>
      </w:pPr>
    </w:p>
    <w:p w14:paraId="424F1393" w14:textId="082278EF" w:rsidR="00F0655F" w:rsidRPr="00E20F03" w:rsidRDefault="00C950B4" w:rsidP="00086B90">
      <w:pPr>
        <w:autoSpaceDE w:val="0"/>
        <w:autoSpaceDN w:val="0"/>
        <w:adjustRightInd w:val="0"/>
        <w:spacing w:line="288" w:lineRule="auto"/>
        <w:ind w:left="0" w:right="-290"/>
        <w:rPr>
          <w:rFonts w:ascii="Verdana" w:hAnsi="Verdana" w:cs="Gotham Light"/>
          <w:b/>
          <w:bCs/>
          <w:spacing w:val="-5"/>
          <w:sz w:val="20"/>
          <w:szCs w:val="20"/>
        </w:rPr>
      </w:pPr>
      <w:r w:rsidRPr="00CA0315">
        <w:rPr>
          <w:rFonts w:ascii="Verdana" w:hAnsi="Verdana" w:cs="Gotham Light"/>
          <w:b/>
          <w:bCs/>
          <w:spacing w:val="-5"/>
          <w:sz w:val="20"/>
          <w:szCs w:val="20"/>
        </w:rPr>
        <w:t xml:space="preserve">Rastede, </w:t>
      </w:r>
      <w:r w:rsidR="00605BD6">
        <w:rPr>
          <w:rFonts w:ascii="Verdana" w:hAnsi="Verdana" w:cs="Gotham Light"/>
          <w:b/>
          <w:bCs/>
          <w:spacing w:val="-5"/>
          <w:sz w:val="20"/>
          <w:szCs w:val="20"/>
        </w:rPr>
        <w:t xml:space="preserve">Oktober </w:t>
      </w:r>
      <w:r w:rsidR="00AC4911" w:rsidRPr="00CA0315">
        <w:rPr>
          <w:rFonts w:ascii="Verdana" w:hAnsi="Verdana" w:cs="Gotham Light"/>
          <w:b/>
          <w:bCs/>
          <w:spacing w:val="-5"/>
          <w:sz w:val="20"/>
          <w:szCs w:val="20"/>
        </w:rPr>
        <w:t>202</w:t>
      </w:r>
      <w:r w:rsidR="00EF0C7E" w:rsidRPr="00CA0315">
        <w:rPr>
          <w:rFonts w:ascii="Verdana" w:hAnsi="Verdana" w:cs="Gotham Light"/>
          <w:b/>
          <w:bCs/>
          <w:spacing w:val="-5"/>
          <w:sz w:val="20"/>
          <w:szCs w:val="20"/>
        </w:rPr>
        <w:t>5</w:t>
      </w:r>
      <w:r w:rsidR="00AC4911" w:rsidRPr="00CA0315">
        <w:rPr>
          <w:rFonts w:ascii="Verdana" w:hAnsi="Verdana" w:cs="Gotham Light"/>
          <w:b/>
          <w:bCs/>
          <w:spacing w:val="-5"/>
          <w:sz w:val="20"/>
          <w:szCs w:val="20"/>
        </w:rPr>
        <w:t xml:space="preserve">. </w:t>
      </w:r>
      <w:r w:rsidR="005B1EFF" w:rsidRPr="005B1EFF">
        <w:rPr>
          <w:rFonts w:ascii="Verdana" w:hAnsi="Verdana" w:cs="Gotham Light"/>
          <w:b/>
          <w:bCs/>
          <w:spacing w:val="-5"/>
          <w:sz w:val="20"/>
          <w:szCs w:val="20"/>
        </w:rPr>
        <w:t xml:space="preserve">Der norddeutsche Wärmespezialist BRÖTJE hat seine Gas-Brennwertwandkessel </w:t>
      </w:r>
      <w:r w:rsidR="00AC4152">
        <w:rPr>
          <w:rFonts w:ascii="Verdana" w:hAnsi="Verdana" w:cs="Gotham Light"/>
          <w:b/>
          <w:bCs/>
          <w:spacing w:val="-5"/>
          <w:sz w:val="20"/>
          <w:szCs w:val="20"/>
        </w:rPr>
        <w:t xml:space="preserve">der Serie </w:t>
      </w:r>
      <w:r w:rsidR="00AC4152" w:rsidRPr="005B1EFF">
        <w:rPr>
          <w:rFonts w:ascii="Verdana" w:hAnsi="Verdana" w:cs="Gotham Light"/>
          <w:b/>
          <w:bCs/>
          <w:spacing w:val="-5"/>
          <w:sz w:val="20"/>
          <w:szCs w:val="20"/>
        </w:rPr>
        <w:t xml:space="preserve">WGB </w:t>
      </w:r>
      <w:r w:rsidR="005B1EFF" w:rsidRPr="005B1EFF">
        <w:rPr>
          <w:rFonts w:ascii="Verdana" w:hAnsi="Verdana" w:cs="Gotham Light"/>
          <w:b/>
          <w:bCs/>
          <w:spacing w:val="-5"/>
          <w:sz w:val="20"/>
          <w:szCs w:val="20"/>
        </w:rPr>
        <w:t>aktualisiert. Die neuen WGB.2 Geräte mit Heizleistungen von 2,9 bis 38</w:t>
      </w:r>
      <w:r w:rsidR="00086B90">
        <w:rPr>
          <w:rFonts w:ascii="Verdana" w:hAnsi="Verdana" w:cs="Gotham Light"/>
          <w:b/>
          <w:bCs/>
          <w:spacing w:val="-5"/>
          <w:sz w:val="20"/>
          <w:szCs w:val="20"/>
        </w:rPr>
        <w:t> </w:t>
      </w:r>
      <w:r w:rsidR="005B1EFF" w:rsidRPr="005B1EFF">
        <w:rPr>
          <w:rFonts w:ascii="Verdana" w:hAnsi="Verdana" w:cs="Gotham Light"/>
          <w:b/>
          <w:bCs/>
          <w:spacing w:val="-5"/>
          <w:sz w:val="20"/>
          <w:szCs w:val="20"/>
        </w:rPr>
        <w:t xml:space="preserve">kW überzeugen durch die innovative IWR MultiPort-Schnittstelle. </w:t>
      </w:r>
      <w:r w:rsidR="00086B90">
        <w:rPr>
          <w:rFonts w:ascii="Verdana" w:hAnsi="Verdana" w:cs="Gotham Light"/>
          <w:b/>
          <w:bCs/>
          <w:spacing w:val="-5"/>
          <w:sz w:val="20"/>
          <w:szCs w:val="20"/>
        </w:rPr>
        <w:t xml:space="preserve">Diese </w:t>
      </w:r>
      <w:r w:rsidR="005B1EFF" w:rsidRPr="005B1EFF">
        <w:rPr>
          <w:rFonts w:ascii="Verdana" w:hAnsi="Verdana" w:cs="Gotham Light"/>
          <w:b/>
          <w:bCs/>
          <w:spacing w:val="-5"/>
          <w:sz w:val="20"/>
          <w:szCs w:val="20"/>
        </w:rPr>
        <w:t>ermöglicht die flexible Einbindung weiterer Wärmeerzeuger und Regelungstechnik. Über den Vorrüstsatz Kit</w:t>
      </w:r>
      <w:r w:rsidR="00086B90">
        <w:rPr>
          <w:rFonts w:ascii="Verdana" w:hAnsi="Verdana" w:cs="Gotham Light"/>
          <w:b/>
          <w:bCs/>
          <w:spacing w:val="-5"/>
          <w:sz w:val="20"/>
          <w:szCs w:val="20"/>
        </w:rPr>
        <w:t> </w:t>
      </w:r>
      <w:r w:rsidR="005B1EFF" w:rsidRPr="005B1EFF">
        <w:rPr>
          <w:rFonts w:ascii="Verdana" w:hAnsi="Verdana" w:cs="Gotham Light"/>
          <w:b/>
          <w:bCs/>
          <w:spacing w:val="-5"/>
          <w:sz w:val="20"/>
          <w:szCs w:val="20"/>
        </w:rPr>
        <w:t>65 lässt sich der WGB.2 zukunftssicher mit Wärmepumpen von BRÖTJE kombinieren.</w:t>
      </w:r>
    </w:p>
    <w:p w14:paraId="23B2CB98" w14:textId="79397AFC" w:rsidR="002C5814" w:rsidRPr="00E20F03" w:rsidRDefault="008112AB" w:rsidP="00E20F03">
      <w:pPr>
        <w:autoSpaceDE w:val="0"/>
        <w:autoSpaceDN w:val="0"/>
        <w:adjustRightInd w:val="0"/>
        <w:spacing w:line="288" w:lineRule="auto"/>
        <w:ind w:left="0" w:right="-573"/>
        <w:rPr>
          <w:rFonts w:ascii="Verdana" w:hAnsi="Verdana" w:cs="Gotham Light"/>
          <w:b/>
          <w:bCs/>
          <w:spacing w:val="-5"/>
          <w:sz w:val="20"/>
          <w:szCs w:val="20"/>
        </w:rPr>
      </w:pPr>
      <w:r w:rsidRPr="00452E1C">
        <w:rPr>
          <w:noProof/>
        </w:rPr>
        <mc:AlternateContent>
          <mc:Choice Requires="wps">
            <w:drawing>
              <wp:anchor distT="0" distB="0" distL="180340" distR="180340" simplePos="0" relativeHeight="251658241" behindDoc="1" locked="0" layoutInCell="1" allowOverlap="0" wp14:anchorId="62A53FC5" wp14:editId="68CD1ED9">
                <wp:simplePos x="0" y="0"/>
                <wp:positionH relativeFrom="page">
                  <wp:posOffset>903605</wp:posOffset>
                </wp:positionH>
                <wp:positionV relativeFrom="paragraph">
                  <wp:posOffset>4746625</wp:posOffset>
                </wp:positionV>
                <wp:extent cx="5939790" cy="701675"/>
                <wp:effectExtent l="0" t="0" r="3810" b="3175"/>
                <wp:wrapTopAndBottom/>
                <wp:docPr id="27" name="Textfeld 27"/>
                <wp:cNvGraphicFramePr/>
                <a:graphic xmlns:a="http://schemas.openxmlformats.org/drawingml/2006/main">
                  <a:graphicData uri="http://schemas.microsoft.com/office/word/2010/wordprocessingShape">
                    <wps:wsp>
                      <wps:cNvSpPr txBox="1"/>
                      <wps:spPr>
                        <a:xfrm>
                          <a:off x="0" y="0"/>
                          <a:ext cx="5939790" cy="701675"/>
                        </a:xfrm>
                        <a:prstGeom prst="rect">
                          <a:avLst/>
                        </a:prstGeom>
                        <a:solidFill>
                          <a:schemeClr val="lt1"/>
                        </a:solidFill>
                        <a:ln w="6350">
                          <a:noFill/>
                        </a:ln>
                      </wps:spPr>
                      <wps:txbx>
                        <w:txbxContent>
                          <w:p w14:paraId="6775FB58" w14:textId="48B9A5E9" w:rsidR="008112AB" w:rsidRDefault="008112AB" w:rsidP="00911C09">
                            <w:pPr>
                              <w:autoSpaceDE w:val="0"/>
                              <w:autoSpaceDN w:val="0"/>
                              <w:adjustRightInd w:val="0"/>
                              <w:spacing w:line="288" w:lineRule="auto"/>
                              <w:ind w:left="0" w:right="33"/>
                              <w:rPr>
                                <w:rFonts w:ascii="Verdana" w:hAnsi="Verdana" w:cs="Gotham Light"/>
                                <w:i/>
                                <w:iCs/>
                                <w:spacing w:val="-5"/>
                                <w:sz w:val="18"/>
                                <w:szCs w:val="18"/>
                              </w:rPr>
                            </w:pPr>
                            <w:r w:rsidRPr="008112AB">
                              <w:rPr>
                                <w:rFonts w:ascii="Verdana" w:hAnsi="Verdana" w:cs="Gotham Light"/>
                                <w:i/>
                                <w:iCs/>
                                <w:spacing w:val="-5"/>
                                <w:sz w:val="18"/>
                                <w:szCs w:val="18"/>
                              </w:rPr>
                              <w:t>Der Gas-Brennwertwandkessel WGB.2 von BRÖTJE zeichnet sich</w:t>
                            </w:r>
                            <w:r w:rsidR="00086B90" w:rsidRPr="008112AB">
                              <w:rPr>
                                <w:rFonts w:ascii="Verdana" w:hAnsi="Verdana" w:cs="Gotham Light"/>
                                <w:i/>
                                <w:iCs/>
                                <w:spacing w:val="-5"/>
                                <w:sz w:val="18"/>
                                <w:szCs w:val="18"/>
                              </w:rPr>
                              <w:t xml:space="preserve"> </w:t>
                            </w:r>
                            <w:r w:rsidRPr="008112AB">
                              <w:rPr>
                                <w:rFonts w:ascii="Verdana" w:hAnsi="Verdana" w:cs="Gotham Light"/>
                                <w:i/>
                                <w:iCs/>
                                <w:spacing w:val="-5"/>
                                <w:sz w:val="18"/>
                                <w:szCs w:val="18"/>
                              </w:rPr>
                              <w:t>durch hohen Bedienkomfort und eine flexible Schnittstelle</w:t>
                            </w:r>
                            <w:r w:rsidR="00384A5B" w:rsidRPr="00384A5B">
                              <w:rPr>
                                <w:rFonts w:ascii="Verdana" w:hAnsi="Verdana" w:cs="Gotham Light"/>
                                <w:i/>
                                <w:iCs/>
                                <w:spacing w:val="-5"/>
                                <w:sz w:val="18"/>
                                <w:szCs w:val="18"/>
                              </w:rPr>
                              <w:t xml:space="preserve"> </w:t>
                            </w:r>
                            <w:r w:rsidR="00384A5B" w:rsidRPr="008112AB">
                              <w:rPr>
                                <w:rFonts w:ascii="Verdana" w:hAnsi="Verdana" w:cs="Gotham Light"/>
                                <w:i/>
                                <w:iCs/>
                                <w:spacing w:val="-5"/>
                                <w:sz w:val="18"/>
                                <w:szCs w:val="18"/>
                              </w:rPr>
                              <w:t>aus</w:t>
                            </w:r>
                            <w:r w:rsidR="00384A5B">
                              <w:rPr>
                                <w:rFonts w:ascii="Verdana" w:hAnsi="Verdana" w:cs="Gotham Light"/>
                                <w:i/>
                                <w:iCs/>
                                <w:spacing w:val="-5"/>
                                <w:sz w:val="18"/>
                                <w:szCs w:val="18"/>
                              </w:rPr>
                              <w:t xml:space="preserve">. Diese erlaubt </w:t>
                            </w:r>
                            <w:r w:rsidRPr="008112AB">
                              <w:rPr>
                                <w:rFonts w:ascii="Verdana" w:hAnsi="Verdana" w:cs="Gotham Light"/>
                                <w:i/>
                                <w:iCs/>
                                <w:spacing w:val="-5"/>
                                <w:sz w:val="18"/>
                                <w:szCs w:val="18"/>
                              </w:rPr>
                              <w:t>beispielsweise</w:t>
                            </w:r>
                            <w:r w:rsidR="00384A5B">
                              <w:rPr>
                                <w:rFonts w:ascii="Verdana" w:hAnsi="Verdana" w:cs="Gotham Light"/>
                                <w:i/>
                                <w:iCs/>
                                <w:spacing w:val="-5"/>
                                <w:sz w:val="18"/>
                                <w:szCs w:val="18"/>
                              </w:rPr>
                              <w:t xml:space="preserve"> die Anbindung</w:t>
                            </w:r>
                            <w:r w:rsidRPr="008112AB">
                              <w:rPr>
                                <w:rFonts w:ascii="Verdana" w:hAnsi="Verdana" w:cs="Gotham Light"/>
                                <w:i/>
                                <w:iCs/>
                                <w:spacing w:val="-5"/>
                                <w:sz w:val="18"/>
                                <w:szCs w:val="18"/>
                              </w:rPr>
                              <w:t xml:space="preserve"> </w:t>
                            </w:r>
                            <w:r w:rsidR="00384A5B">
                              <w:rPr>
                                <w:rFonts w:ascii="Verdana" w:hAnsi="Verdana" w:cs="Gotham Light"/>
                                <w:i/>
                                <w:iCs/>
                                <w:spacing w:val="-5"/>
                                <w:sz w:val="18"/>
                                <w:szCs w:val="18"/>
                              </w:rPr>
                              <w:t>einer</w:t>
                            </w:r>
                            <w:r w:rsidRPr="008112AB">
                              <w:rPr>
                                <w:rFonts w:ascii="Verdana" w:hAnsi="Verdana" w:cs="Gotham Light"/>
                                <w:i/>
                                <w:iCs/>
                                <w:spacing w:val="-5"/>
                                <w:sz w:val="18"/>
                                <w:szCs w:val="18"/>
                              </w:rPr>
                              <w:t xml:space="preserve"> Wärmepumpe</w:t>
                            </w:r>
                            <w:r w:rsidR="00384A5B">
                              <w:rPr>
                                <w:rFonts w:ascii="Verdana" w:hAnsi="Verdana" w:cs="Gotham Light"/>
                                <w:i/>
                                <w:iCs/>
                                <w:spacing w:val="-5"/>
                                <w:sz w:val="18"/>
                                <w:szCs w:val="18"/>
                              </w:rPr>
                              <w:t xml:space="preserve"> über das Kit 65</w:t>
                            </w:r>
                            <w:r w:rsidRPr="008112AB">
                              <w:rPr>
                                <w:rFonts w:ascii="Verdana" w:hAnsi="Verdana" w:cs="Gotham Light"/>
                                <w:i/>
                                <w:iCs/>
                                <w:spacing w:val="-5"/>
                                <w:sz w:val="18"/>
                                <w:szCs w:val="18"/>
                              </w:rPr>
                              <w:t>.</w:t>
                            </w:r>
                          </w:p>
                          <w:p w14:paraId="1C995AF2" w14:textId="795C5D58"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August Brötje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62A53FC5">
                <v:stroke joinstyle="miter"/>
                <v:path gradientshapeok="t" o:connecttype="rect"/>
              </v:shapetype>
              <v:shape id="Textfeld 27" style="position:absolute;margin-left:71.15pt;margin-top:373.75pt;width:467.7pt;height:55.2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spid="_x0000_s1026"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">
                <v:textbox inset="0,,0">
                  <w:txbxContent>
                    <w:p w:rsidR="008112AB" w:rsidP="00911C09" w:rsidRDefault="008112AB" w14:paraId="6775FB58" w14:textId="48B9A5E9">
                      <w:pPr>
                        <w:autoSpaceDE w:val="0"/>
                        <w:autoSpaceDN w:val="0"/>
                        <w:adjustRightInd w:val="0"/>
                        <w:spacing w:line="288" w:lineRule="auto"/>
                        <w:ind w:left="0" w:right="33"/>
                        <w:rPr>
                          <w:rFonts w:ascii="Verdana" w:hAnsi="Verdana" w:cs="Gotham Light"/>
                          <w:i/>
                          <w:iCs/>
                          <w:spacing w:val="-5"/>
                          <w:sz w:val="18"/>
                          <w:szCs w:val="18"/>
                        </w:rPr>
                      </w:pPr>
                      <w:r w:rsidRPr="008112AB">
                        <w:rPr>
                          <w:rFonts w:ascii="Verdana" w:hAnsi="Verdana" w:cs="Gotham Light"/>
                          <w:i/>
                          <w:iCs/>
                          <w:spacing w:val="-5"/>
                          <w:sz w:val="18"/>
                          <w:szCs w:val="18"/>
                        </w:rPr>
                        <w:t>Der Gas-Brennwertwandkessel WGB.2 von BRÖTJE zeichnet sich</w:t>
                      </w:r>
                      <w:r w:rsidRPr="008112AB" w:rsidR="00086B90">
                        <w:rPr>
                          <w:rFonts w:ascii="Verdana" w:hAnsi="Verdana" w:cs="Gotham Light"/>
                          <w:i/>
                          <w:iCs/>
                          <w:spacing w:val="-5"/>
                          <w:sz w:val="18"/>
                          <w:szCs w:val="18"/>
                        </w:rPr>
                        <w:t xml:space="preserve"> </w:t>
                      </w:r>
                      <w:r w:rsidRPr="008112AB">
                        <w:rPr>
                          <w:rFonts w:ascii="Verdana" w:hAnsi="Verdana" w:cs="Gotham Light"/>
                          <w:i/>
                          <w:iCs/>
                          <w:spacing w:val="-5"/>
                          <w:sz w:val="18"/>
                          <w:szCs w:val="18"/>
                        </w:rPr>
                        <w:t>durch hohen Bedienkomfort und eine flexible Schnittstelle</w:t>
                      </w:r>
                      <w:r w:rsidRPr="00384A5B" w:rsidR="00384A5B">
                        <w:rPr>
                          <w:rFonts w:ascii="Verdana" w:hAnsi="Verdana" w:cs="Gotham Light"/>
                          <w:i/>
                          <w:iCs/>
                          <w:spacing w:val="-5"/>
                          <w:sz w:val="18"/>
                          <w:szCs w:val="18"/>
                        </w:rPr>
                        <w:t xml:space="preserve"> </w:t>
                      </w:r>
                      <w:r w:rsidRPr="008112AB" w:rsidR="00384A5B">
                        <w:rPr>
                          <w:rFonts w:ascii="Verdana" w:hAnsi="Verdana" w:cs="Gotham Light"/>
                          <w:i/>
                          <w:iCs/>
                          <w:spacing w:val="-5"/>
                          <w:sz w:val="18"/>
                          <w:szCs w:val="18"/>
                        </w:rPr>
                        <w:t>aus</w:t>
                      </w:r>
                      <w:r w:rsidR="00384A5B">
                        <w:rPr>
                          <w:rFonts w:ascii="Verdana" w:hAnsi="Verdana" w:cs="Gotham Light"/>
                          <w:i/>
                          <w:iCs/>
                          <w:spacing w:val="-5"/>
                          <w:sz w:val="18"/>
                          <w:szCs w:val="18"/>
                        </w:rPr>
                        <w:t xml:space="preserve">. Diese erlaubt </w:t>
                      </w:r>
                      <w:r w:rsidRPr="008112AB">
                        <w:rPr>
                          <w:rFonts w:ascii="Verdana" w:hAnsi="Verdana" w:cs="Gotham Light"/>
                          <w:i/>
                          <w:iCs/>
                          <w:spacing w:val="-5"/>
                          <w:sz w:val="18"/>
                          <w:szCs w:val="18"/>
                        </w:rPr>
                        <w:t>beispielsweise</w:t>
                      </w:r>
                      <w:r w:rsidR="00384A5B">
                        <w:rPr>
                          <w:rFonts w:ascii="Verdana" w:hAnsi="Verdana" w:cs="Gotham Light"/>
                          <w:i/>
                          <w:iCs/>
                          <w:spacing w:val="-5"/>
                          <w:sz w:val="18"/>
                          <w:szCs w:val="18"/>
                        </w:rPr>
                        <w:t xml:space="preserve"> die Anbindung</w:t>
                      </w:r>
                      <w:r w:rsidRPr="008112AB">
                        <w:rPr>
                          <w:rFonts w:ascii="Verdana" w:hAnsi="Verdana" w:cs="Gotham Light"/>
                          <w:i/>
                          <w:iCs/>
                          <w:spacing w:val="-5"/>
                          <w:sz w:val="18"/>
                          <w:szCs w:val="18"/>
                        </w:rPr>
                        <w:t xml:space="preserve"> </w:t>
                      </w:r>
                      <w:r w:rsidR="00384A5B">
                        <w:rPr>
                          <w:rFonts w:ascii="Verdana" w:hAnsi="Verdana" w:cs="Gotham Light"/>
                          <w:i/>
                          <w:iCs/>
                          <w:spacing w:val="-5"/>
                          <w:sz w:val="18"/>
                          <w:szCs w:val="18"/>
                        </w:rPr>
                        <w:t>einer</w:t>
                      </w:r>
                      <w:r w:rsidRPr="008112AB">
                        <w:rPr>
                          <w:rFonts w:ascii="Verdana" w:hAnsi="Verdana" w:cs="Gotham Light"/>
                          <w:i/>
                          <w:iCs/>
                          <w:spacing w:val="-5"/>
                          <w:sz w:val="18"/>
                          <w:szCs w:val="18"/>
                        </w:rPr>
                        <w:t xml:space="preserve"> Wärmepumpe</w:t>
                      </w:r>
                      <w:r w:rsidR="00384A5B">
                        <w:rPr>
                          <w:rFonts w:ascii="Verdana" w:hAnsi="Verdana" w:cs="Gotham Light"/>
                          <w:i/>
                          <w:iCs/>
                          <w:spacing w:val="-5"/>
                          <w:sz w:val="18"/>
                          <w:szCs w:val="18"/>
                        </w:rPr>
                        <w:t xml:space="preserve"> über das Kit 65</w:t>
                      </w:r>
                      <w:r w:rsidRPr="008112AB">
                        <w:rPr>
                          <w:rFonts w:ascii="Verdana" w:hAnsi="Verdana" w:cs="Gotham Light"/>
                          <w:i/>
                          <w:iCs/>
                          <w:spacing w:val="-5"/>
                          <w:sz w:val="18"/>
                          <w:szCs w:val="18"/>
                        </w:rPr>
                        <w:t>.</w:t>
                      </w:r>
                    </w:p>
                    <w:p w:rsidRPr="00B95B1A" w:rsidR="00911C09" w:rsidP="00911C09" w:rsidRDefault="00911C09" w14:paraId="1C995AF2" w14:textId="795C5D58">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page"/>
              </v:shape>
            </w:pict>
          </mc:Fallback>
        </mc:AlternateContent>
      </w:r>
      <w:r w:rsidR="009339A1"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2D301B12">
            <wp:simplePos x="0" y="0"/>
            <wp:positionH relativeFrom="column">
              <wp:posOffset>3810</wp:posOffset>
            </wp:positionH>
            <wp:positionV relativeFrom="paragraph">
              <wp:posOffset>376555</wp:posOffset>
            </wp:positionV>
            <wp:extent cx="5826125" cy="4369435"/>
            <wp:effectExtent l="0" t="0" r="3175"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826125" cy="4369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48A6BF" w14:textId="447FDF53" w:rsidR="003D3865" w:rsidRPr="00E20F03" w:rsidRDefault="003D3865" w:rsidP="00E20F03">
      <w:pPr>
        <w:autoSpaceDE w:val="0"/>
        <w:autoSpaceDN w:val="0"/>
        <w:adjustRightInd w:val="0"/>
        <w:spacing w:line="24" w:lineRule="atLeast"/>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03746652" w14:textId="44E5BA1D"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spacing w:val="-5"/>
          <w:sz w:val="20"/>
          <w:szCs w:val="20"/>
        </w:rPr>
        <w:t>Die Brennwertkessel WGB.2 sind so kompakt, elegant und leise, dass sie keinen separaten Heizraum benötigen. Fast alle Modelle haben die Abmessungen 763 x 450 x 368</w:t>
      </w:r>
      <w:r>
        <w:rPr>
          <w:rFonts w:ascii="Verdana" w:hAnsi="Verdana" w:cs="Gotham Light"/>
          <w:spacing w:val="-5"/>
          <w:sz w:val="20"/>
          <w:szCs w:val="20"/>
        </w:rPr>
        <w:t> </w:t>
      </w:r>
      <w:r w:rsidRPr="00086B90">
        <w:rPr>
          <w:rFonts w:ascii="Verdana" w:hAnsi="Verdana" w:cs="Gotham Light"/>
          <w:spacing w:val="-5"/>
          <w:sz w:val="20"/>
          <w:szCs w:val="20"/>
        </w:rPr>
        <w:t>mm (H/B/T), was die Montage</w:t>
      </w:r>
      <w:r w:rsidR="00741E00">
        <w:rPr>
          <w:rFonts w:ascii="Verdana" w:hAnsi="Verdana" w:cs="Gotham Light"/>
          <w:spacing w:val="-5"/>
          <w:sz w:val="20"/>
          <w:szCs w:val="20"/>
        </w:rPr>
        <w:t xml:space="preserve"> oder</w:t>
      </w:r>
      <w:r w:rsidRPr="00086B90">
        <w:rPr>
          <w:rFonts w:ascii="Verdana" w:hAnsi="Verdana" w:cs="Gotham Light"/>
          <w:spacing w:val="-5"/>
          <w:sz w:val="20"/>
          <w:szCs w:val="20"/>
        </w:rPr>
        <w:t xml:space="preserve"> den Austausch besonders unkompliziert macht. Die Steuerung erfolgt über die Regelungsplattform IWR mit komfortablem Farbdisplay, das eine intuitive Bedienung und Wartung gewährleistet. Zusätzlich bietet das als Zubehör erhältliche Konnektivitätsmodul IWR DataConnect eine Verbindung zum WLAN</w:t>
      </w:r>
      <w:r w:rsidR="00CE2E2D">
        <w:rPr>
          <w:rFonts w:ascii="Verdana" w:hAnsi="Verdana" w:cs="Gotham Light"/>
          <w:spacing w:val="-5"/>
          <w:sz w:val="20"/>
          <w:szCs w:val="20"/>
        </w:rPr>
        <w:t xml:space="preserve">. So kann </w:t>
      </w:r>
      <w:r w:rsidR="009C195C">
        <w:rPr>
          <w:rFonts w:ascii="Verdana" w:hAnsi="Verdana" w:cs="Gotham Light"/>
          <w:spacing w:val="-5"/>
          <w:sz w:val="20"/>
          <w:szCs w:val="20"/>
        </w:rPr>
        <w:t>der WGB.2</w:t>
      </w:r>
      <w:r w:rsidR="00CE2E2D">
        <w:rPr>
          <w:rFonts w:ascii="Verdana" w:hAnsi="Verdana" w:cs="Gotham Light"/>
          <w:spacing w:val="-5"/>
          <w:sz w:val="20"/>
          <w:szCs w:val="20"/>
        </w:rPr>
        <w:t xml:space="preserve"> </w:t>
      </w:r>
      <w:r w:rsidRPr="00086B90">
        <w:rPr>
          <w:rFonts w:ascii="Verdana" w:hAnsi="Verdana" w:cs="Gotham Light"/>
          <w:spacing w:val="-5"/>
          <w:sz w:val="20"/>
          <w:szCs w:val="20"/>
        </w:rPr>
        <w:t>mit der BRÖTJE Home Komfort App und dem Raumgerät IWR IDA Basic verbunden werden.</w:t>
      </w:r>
    </w:p>
    <w:p w14:paraId="2385FA68" w14:textId="77777777"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p>
    <w:p w14:paraId="65E43E79" w14:textId="77777777" w:rsidR="00086B90" w:rsidRPr="00086B90" w:rsidRDefault="00086B90" w:rsidP="00086B90">
      <w:pPr>
        <w:autoSpaceDE w:val="0"/>
        <w:autoSpaceDN w:val="0"/>
        <w:adjustRightInd w:val="0"/>
        <w:spacing w:line="288" w:lineRule="auto"/>
        <w:ind w:left="0" w:right="-573"/>
        <w:rPr>
          <w:rFonts w:ascii="Verdana" w:hAnsi="Verdana" w:cs="Gotham Light"/>
          <w:b/>
          <w:bCs/>
          <w:spacing w:val="-5"/>
          <w:sz w:val="20"/>
          <w:szCs w:val="20"/>
        </w:rPr>
      </w:pPr>
      <w:r w:rsidRPr="00086B90">
        <w:rPr>
          <w:rFonts w:ascii="Verdana" w:hAnsi="Verdana" w:cs="Gotham Light"/>
          <w:b/>
          <w:bCs/>
          <w:spacing w:val="-5"/>
          <w:sz w:val="20"/>
          <w:szCs w:val="20"/>
        </w:rPr>
        <w:t>Schnittstelle für vielfältige Lösungen</w:t>
      </w:r>
    </w:p>
    <w:p w14:paraId="003D87DF" w14:textId="330BBE99"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spacing w:val="-5"/>
          <w:sz w:val="20"/>
          <w:szCs w:val="20"/>
        </w:rPr>
        <w:t xml:space="preserve">Der WGB.2 setzt neue Maßstäbe in Sachen Erweiterbarkeit und Benutzerfreundlichkeit. Dank der innovativen IWR MultiPort-Schnittstelle lassen sich externe Regelungserweiterungen </w:t>
      </w:r>
      <w:r w:rsidR="0069472D">
        <w:rPr>
          <w:rFonts w:ascii="Verdana" w:hAnsi="Verdana" w:cs="Gotham Light"/>
          <w:spacing w:val="-5"/>
          <w:sz w:val="20"/>
          <w:szCs w:val="20"/>
        </w:rPr>
        <w:t>ebenso</w:t>
      </w:r>
      <w:r w:rsidR="00757498">
        <w:rPr>
          <w:rFonts w:ascii="Verdana" w:hAnsi="Verdana" w:cs="Gotham Light"/>
          <w:spacing w:val="-5"/>
          <w:sz w:val="20"/>
          <w:szCs w:val="20"/>
        </w:rPr>
        <w:t xml:space="preserve"> wie </w:t>
      </w:r>
      <w:r w:rsidRPr="00086B90">
        <w:rPr>
          <w:rFonts w:ascii="Verdana" w:hAnsi="Verdana" w:cs="Gotham Light"/>
          <w:spacing w:val="-5"/>
          <w:sz w:val="20"/>
          <w:szCs w:val="20"/>
        </w:rPr>
        <w:t xml:space="preserve">zusätzliche Wärmeerzeuger im Handumdrehen </w:t>
      </w:r>
      <w:r w:rsidR="009C195C">
        <w:rPr>
          <w:rFonts w:ascii="Verdana" w:hAnsi="Verdana" w:cs="Gotham Light"/>
          <w:spacing w:val="-5"/>
          <w:sz w:val="20"/>
          <w:szCs w:val="20"/>
        </w:rPr>
        <w:t>an</w:t>
      </w:r>
      <w:r w:rsidR="00CE2E2D">
        <w:rPr>
          <w:rFonts w:ascii="Verdana" w:hAnsi="Verdana" w:cs="Gotham Light"/>
          <w:spacing w:val="-5"/>
          <w:sz w:val="20"/>
          <w:szCs w:val="20"/>
        </w:rPr>
        <w:t>binden</w:t>
      </w:r>
      <w:r w:rsidR="00CE2E2D" w:rsidRPr="00086B90">
        <w:rPr>
          <w:rFonts w:ascii="Verdana" w:hAnsi="Verdana" w:cs="Gotham Light"/>
          <w:spacing w:val="-5"/>
          <w:sz w:val="20"/>
          <w:szCs w:val="20"/>
        </w:rPr>
        <w:t xml:space="preserve"> </w:t>
      </w:r>
      <w:r w:rsidRPr="00086B90">
        <w:rPr>
          <w:rFonts w:ascii="Verdana" w:hAnsi="Verdana" w:cs="Gotham Light"/>
          <w:spacing w:val="-5"/>
          <w:sz w:val="20"/>
          <w:szCs w:val="20"/>
        </w:rPr>
        <w:t>– ganz ohne komplizierte Installationen. Der integrierte Service-Port erlaubt direkten Zugriff auf alle relevanten Daten und Parameter für eine mühelose Inbetriebnahme und Wartung.</w:t>
      </w:r>
    </w:p>
    <w:p w14:paraId="5392164E" w14:textId="77777777"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p>
    <w:p w14:paraId="266E9331" w14:textId="7B2B9A8A" w:rsidR="00086B90" w:rsidRPr="00086B90" w:rsidRDefault="00086B90" w:rsidP="00086B90">
      <w:pPr>
        <w:autoSpaceDE w:val="0"/>
        <w:autoSpaceDN w:val="0"/>
        <w:adjustRightInd w:val="0"/>
        <w:spacing w:line="288" w:lineRule="auto"/>
        <w:ind w:left="0" w:right="-573"/>
        <w:rPr>
          <w:rFonts w:ascii="Verdana" w:hAnsi="Verdana" w:cs="Gotham Light"/>
          <w:b/>
          <w:bCs/>
          <w:spacing w:val="-5"/>
          <w:sz w:val="20"/>
          <w:szCs w:val="20"/>
        </w:rPr>
      </w:pPr>
      <w:r w:rsidRPr="00086B90">
        <w:rPr>
          <w:rFonts w:ascii="Verdana" w:hAnsi="Verdana" w:cs="Gotham Light"/>
          <w:b/>
          <w:bCs/>
          <w:spacing w:val="-5"/>
          <w:sz w:val="20"/>
          <w:szCs w:val="20"/>
        </w:rPr>
        <w:t>Zukunftssicher mit dem Kit</w:t>
      </w:r>
      <w:r>
        <w:rPr>
          <w:rFonts w:ascii="Verdana" w:hAnsi="Verdana" w:cs="Gotham Light"/>
          <w:b/>
          <w:bCs/>
          <w:spacing w:val="-5"/>
          <w:sz w:val="20"/>
          <w:szCs w:val="20"/>
        </w:rPr>
        <w:t> </w:t>
      </w:r>
      <w:r w:rsidRPr="00086B90">
        <w:rPr>
          <w:rFonts w:ascii="Verdana" w:hAnsi="Verdana" w:cs="Gotham Light"/>
          <w:b/>
          <w:bCs/>
          <w:spacing w:val="-5"/>
          <w:sz w:val="20"/>
          <w:szCs w:val="20"/>
        </w:rPr>
        <w:t>65</w:t>
      </w:r>
    </w:p>
    <w:p w14:paraId="55ADDFC7" w14:textId="50B5C1DF" w:rsidR="009B7272" w:rsidRPr="00086B90" w:rsidRDefault="009C195C" w:rsidP="00086B90">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Zudem lässt sich der</w:t>
      </w:r>
      <w:r w:rsidRPr="00086B90">
        <w:rPr>
          <w:rFonts w:ascii="Verdana" w:hAnsi="Verdana" w:cs="Gotham Light"/>
          <w:spacing w:val="-5"/>
          <w:sz w:val="20"/>
          <w:szCs w:val="20"/>
        </w:rPr>
        <w:t xml:space="preserve"> </w:t>
      </w:r>
      <w:r w:rsidR="00086B90" w:rsidRPr="00086B90">
        <w:rPr>
          <w:rFonts w:ascii="Verdana" w:hAnsi="Verdana" w:cs="Gotham Light"/>
          <w:spacing w:val="-5"/>
          <w:sz w:val="20"/>
          <w:szCs w:val="20"/>
        </w:rPr>
        <w:t>WGB.2</w:t>
      </w:r>
      <w:r w:rsidR="009B7272">
        <w:rPr>
          <w:rFonts w:ascii="Verdana" w:hAnsi="Verdana" w:cs="Gotham Light"/>
          <w:spacing w:val="-5"/>
          <w:sz w:val="20"/>
          <w:szCs w:val="20"/>
        </w:rPr>
        <w:t xml:space="preserve"> </w:t>
      </w:r>
      <w:r w:rsidR="00086B90" w:rsidRPr="00086B90">
        <w:rPr>
          <w:rFonts w:ascii="Verdana" w:hAnsi="Verdana" w:cs="Gotham Light"/>
          <w:spacing w:val="-5"/>
          <w:sz w:val="20"/>
          <w:szCs w:val="20"/>
        </w:rPr>
        <w:t>mit dem innovativen Vorrüstsatz Kit</w:t>
      </w:r>
      <w:r w:rsidR="00086B90">
        <w:rPr>
          <w:rFonts w:ascii="Verdana" w:hAnsi="Verdana" w:cs="Gotham Light"/>
          <w:spacing w:val="-5"/>
          <w:sz w:val="20"/>
          <w:szCs w:val="20"/>
        </w:rPr>
        <w:t> </w:t>
      </w:r>
      <w:r w:rsidR="00086B90" w:rsidRPr="00086B90">
        <w:rPr>
          <w:rFonts w:ascii="Verdana" w:hAnsi="Verdana" w:cs="Gotham Light"/>
          <w:spacing w:val="-5"/>
          <w:sz w:val="20"/>
          <w:szCs w:val="20"/>
        </w:rPr>
        <w:t xml:space="preserve">65 </w:t>
      </w:r>
      <w:r>
        <w:rPr>
          <w:rFonts w:ascii="Verdana" w:hAnsi="Verdana" w:cs="Gotham Light"/>
          <w:spacing w:val="-5"/>
          <w:sz w:val="20"/>
          <w:szCs w:val="20"/>
        </w:rPr>
        <w:t>ergänzen</w:t>
      </w:r>
      <w:r w:rsidR="00086B90" w:rsidRPr="00086B90">
        <w:rPr>
          <w:rFonts w:ascii="Verdana" w:hAnsi="Verdana" w:cs="Gotham Light"/>
          <w:spacing w:val="-5"/>
          <w:sz w:val="20"/>
          <w:szCs w:val="20"/>
        </w:rPr>
        <w:t xml:space="preserve">, der </w:t>
      </w:r>
      <w:r w:rsidR="009B7272">
        <w:rPr>
          <w:rFonts w:ascii="Verdana" w:hAnsi="Verdana" w:cs="Gotham Light"/>
          <w:spacing w:val="-5"/>
          <w:sz w:val="20"/>
          <w:szCs w:val="20"/>
        </w:rPr>
        <w:t>in</w:t>
      </w:r>
      <w:r w:rsidR="00E708AA" w:rsidRPr="00086B90">
        <w:rPr>
          <w:rFonts w:ascii="Verdana" w:hAnsi="Verdana" w:cs="Gotham Light"/>
          <w:spacing w:val="-5"/>
          <w:sz w:val="20"/>
          <w:szCs w:val="20"/>
        </w:rPr>
        <w:t xml:space="preserve"> wenigen Schritten </w:t>
      </w:r>
      <w:r w:rsidR="00086B90" w:rsidRPr="00086B90">
        <w:rPr>
          <w:rFonts w:ascii="Verdana" w:hAnsi="Verdana" w:cs="Gotham Light"/>
          <w:spacing w:val="-5"/>
          <w:sz w:val="20"/>
          <w:szCs w:val="20"/>
        </w:rPr>
        <w:t xml:space="preserve">hinter dem Brennwertkessel </w:t>
      </w:r>
      <w:r w:rsidR="00E708AA">
        <w:rPr>
          <w:rFonts w:ascii="Verdana" w:hAnsi="Verdana" w:cs="Gotham Light"/>
          <w:spacing w:val="-5"/>
          <w:sz w:val="20"/>
          <w:szCs w:val="20"/>
        </w:rPr>
        <w:t>montier</w:t>
      </w:r>
      <w:r>
        <w:rPr>
          <w:rFonts w:ascii="Verdana" w:hAnsi="Verdana" w:cs="Gotham Light"/>
          <w:spacing w:val="-5"/>
          <w:sz w:val="20"/>
          <w:szCs w:val="20"/>
        </w:rPr>
        <w:t>t</w:t>
      </w:r>
      <w:r w:rsidR="00E708AA">
        <w:rPr>
          <w:rFonts w:ascii="Verdana" w:hAnsi="Verdana" w:cs="Gotham Light"/>
          <w:spacing w:val="-5"/>
          <w:sz w:val="20"/>
          <w:szCs w:val="20"/>
        </w:rPr>
        <w:t xml:space="preserve"> </w:t>
      </w:r>
      <w:r w:rsidR="009B7272">
        <w:rPr>
          <w:rFonts w:ascii="Verdana" w:hAnsi="Verdana" w:cs="Gotham Light"/>
          <w:spacing w:val="-5"/>
          <w:sz w:val="20"/>
          <w:szCs w:val="20"/>
        </w:rPr>
        <w:t>ist</w:t>
      </w:r>
      <w:r w:rsidR="00086B90" w:rsidRPr="00086B90">
        <w:rPr>
          <w:rFonts w:ascii="Verdana" w:hAnsi="Verdana" w:cs="Gotham Light"/>
          <w:spacing w:val="-5"/>
          <w:sz w:val="20"/>
          <w:szCs w:val="20"/>
        </w:rPr>
        <w:t xml:space="preserve">. So werden Einfamilienhäuser schnell und unkompliziert für den gesetzeskonformen Einsatz von Wärmepumpen vorbereitet – ideal </w:t>
      </w:r>
      <w:r>
        <w:rPr>
          <w:rFonts w:ascii="Verdana" w:hAnsi="Verdana" w:cs="Gotham Light"/>
          <w:spacing w:val="-5"/>
          <w:sz w:val="20"/>
          <w:szCs w:val="20"/>
        </w:rPr>
        <w:t>zur</w:t>
      </w:r>
      <w:r w:rsidR="00086B90" w:rsidRPr="00086B90">
        <w:rPr>
          <w:rFonts w:ascii="Verdana" w:hAnsi="Verdana" w:cs="Gotham Light"/>
          <w:spacing w:val="-5"/>
          <w:sz w:val="20"/>
          <w:szCs w:val="20"/>
        </w:rPr>
        <w:t xml:space="preserve"> effiziente</w:t>
      </w:r>
      <w:r w:rsidR="009B7272">
        <w:rPr>
          <w:rFonts w:ascii="Verdana" w:hAnsi="Verdana" w:cs="Gotham Light"/>
          <w:spacing w:val="-5"/>
          <w:sz w:val="20"/>
          <w:szCs w:val="20"/>
        </w:rPr>
        <w:t>n</w:t>
      </w:r>
      <w:r w:rsidR="00086B90" w:rsidRPr="00086B90">
        <w:rPr>
          <w:rFonts w:ascii="Verdana" w:hAnsi="Verdana" w:cs="Gotham Light"/>
          <w:spacing w:val="-5"/>
          <w:sz w:val="20"/>
          <w:szCs w:val="20"/>
        </w:rPr>
        <w:t xml:space="preserve"> Sanierung von Bestandsgebäuden. </w:t>
      </w:r>
      <w:r w:rsidR="001009C5">
        <w:rPr>
          <w:rFonts w:ascii="Verdana" w:hAnsi="Verdana" w:cs="Gotham Light"/>
          <w:spacing w:val="-5"/>
          <w:sz w:val="20"/>
          <w:szCs w:val="20"/>
        </w:rPr>
        <w:t xml:space="preserve">In </w:t>
      </w:r>
      <w:r w:rsidR="00086B90" w:rsidRPr="00086B90">
        <w:rPr>
          <w:rFonts w:ascii="Verdana" w:hAnsi="Verdana" w:cs="Gotham Light"/>
          <w:spacing w:val="-5"/>
          <w:sz w:val="20"/>
          <w:szCs w:val="20"/>
        </w:rPr>
        <w:t>Kombination mit dem Kit</w:t>
      </w:r>
      <w:r w:rsidR="00086B90">
        <w:rPr>
          <w:rFonts w:ascii="Verdana" w:hAnsi="Verdana" w:cs="Gotham Light"/>
          <w:spacing w:val="-5"/>
          <w:sz w:val="20"/>
          <w:szCs w:val="20"/>
        </w:rPr>
        <w:t> </w:t>
      </w:r>
      <w:r w:rsidR="00086B90" w:rsidRPr="00086B90">
        <w:rPr>
          <w:rFonts w:ascii="Verdana" w:hAnsi="Verdana" w:cs="Gotham Light"/>
          <w:spacing w:val="-5"/>
          <w:sz w:val="20"/>
          <w:szCs w:val="20"/>
        </w:rPr>
        <w:t xml:space="preserve">65 </w:t>
      </w:r>
      <w:r w:rsidR="00780103">
        <w:rPr>
          <w:rFonts w:ascii="Verdana" w:hAnsi="Verdana" w:cs="Gotham Light"/>
          <w:spacing w:val="-5"/>
          <w:sz w:val="20"/>
          <w:szCs w:val="20"/>
        </w:rPr>
        <w:t xml:space="preserve">sowie </w:t>
      </w:r>
      <w:r w:rsidR="00086B90" w:rsidRPr="00086B90">
        <w:rPr>
          <w:rFonts w:ascii="Verdana" w:hAnsi="Verdana" w:cs="Gotham Light"/>
          <w:spacing w:val="-5"/>
          <w:sz w:val="20"/>
          <w:szCs w:val="20"/>
        </w:rPr>
        <w:t xml:space="preserve">mit den Luft-Wasser-Wärmepumpen BLW Eco.1 </w:t>
      </w:r>
      <w:r w:rsidR="00780103">
        <w:rPr>
          <w:rFonts w:ascii="Verdana" w:hAnsi="Verdana" w:cs="Gotham Light"/>
          <w:spacing w:val="-5"/>
          <w:sz w:val="20"/>
          <w:szCs w:val="20"/>
        </w:rPr>
        <w:t xml:space="preserve">oder </w:t>
      </w:r>
      <w:r w:rsidR="00086B90" w:rsidRPr="00086B90">
        <w:rPr>
          <w:rFonts w:ascii="Verdana" w:hAnsi="Verdana" w:cs="Gotham Light"/>
          <w:spacing w:val="-5"/>
          <w:sz w:val="20"/>
          <w:szCs w:val="20"/>
        </w:rPr>
        <w:t xml:space="preserve">BLW Mono.1 von BRÖTJE </w:t>
      </w:r>
      <w:r w:rsidR="009B7272">
        <w:rPr>
          <w:rFonts w:ascii="Verdana" w:hAnsi="Verdana" w:cs="Gotham Light"/>
          <w:spacing w:val="-5"/>
          <w:sz w:val="20"/>
          <w:szCs w:val="20"/>
        </w:rPr>
        <w:t>ergibt der WGB.2 eine</w:t>
      </w:r>
      <w:r w:rsidR="00720A61">
        <w:rPr>
          <w:rFonts w:ascii="Verdana" w:hAnsi="Verdana" w:cs="Gotham Light"/>
          <w:spacing w:val="-5"/>
          <w:sz w:val="20"/>
          <w:szCs w:val="20"/>
        </w:rPr>
        <w:t xml:space="preserve"> </w:t>
      </w:r>
      <w:r w:rsidR="00086B90" w:rsidRPr="00086B90">
        <w:rPr>
          <w:rFonts w:ascii="Verdana" w:hAnsi="Verdana" w:cs="Gotham Light"/>
          <w:spacing w:val="-5"/>
          <w:sz w:val="20"/>
          <w:szCs w:val="20"/>
        </w:rPr>
        <w:t>zukunftssicher</w:t>
      </w:r>
      <w:r w:rsidR="009B7272">
        <w:rPr>
          <w:rFonts w:ascii="Verdana" w:hAnsi="Verdana" w:cs="Gotham Light"/>
          <w:spacing w:val="-5"/>
          <w:sz w:val="20"/>
          <w:szCs w:val="20"/>
        </w:rPr>
        <w:t>e</w:t>
      </w:r>
      <w:r w:rsidR="00086B90" w:rsidRPr="00086B90">
        <w:rPr>
          <w:rFonts w:ascii="Verdana" w:hAnsi="Verdana" w:cs="Gotham Light"/>
          <w:spacing w:val="-5"/>
          <w:sz w:val="20"/>
          <w:szCs w:val="20"/>
        </w:rPr>
        <w:t xml:space="preserve"> und effizient</w:t>
      </w:r>
      <w:r w:rsidR="009B7272">
        <w:rPr>
          <w:rFonts w:ascii="Verdana" w:hAnsi="Verdana" w:cs="Gotham Light"/>
          <w:spacing w:val="-5"/>
          <w:sz w:val="20"/>
          <w:szCs w:val="20"/>
        </w:rPr>
        <w:t>e Hybridanlage.</w:t>
      </w:r>
    </w:p>
    <w:p w14:paraId="6C50664D" w14:textId="77777777"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p>
    <w:p w14:paraId="6371854B" w14:textId="77777777" w:rsidR="00086B90" w:rsidRPr="00086B90" w:rsidRDefault="00086B90" w:rsidP="00086B90">
      <w:pPr>
        <w:autoSpaceDE w:val="0"/>
        <w:autoSpaceDN w:val="0"/>
        <w:adjustRightInd w:val="0"/>
        <w:spacing w:line="288" w:lineRule="auto"/>
        <w:ind w:left="0" w:right="-573"/>
        <w:rPr>
          <w:rFonts w:ascii="Verdana" w:hAnsi="Verdana" w:cs="Gotham Light"/>
          <w:b/>
          <w:bCs/>
          <w:spacing w:val="-5"/>
          <w:sz w:val="20"/>
          <w:szCs w:val="20"/>
        </w:rPr>
      </w:pPr>
      <w:r w:rsidRPr="00086B90">
        <w:rPr>
          <w:rFonts w:ascii="Verdana" w:hAnsi="Verdana" w:cs="Gotham Light"/>
          <w:b/>
          <w:bCs/>
          <w:spacing w:val="-5"/>
          <w:sz w:val="20"/>
          <w:szCs w:val="20"/>
        </w:rPr>
        <w:t>Hohe Effizienz</w:t>
      </w:r>
    </w:p>
    <w:p w14:paraId="151368B0" w14:textId="624E0903"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spacing w:val="-5"/>
          <w:sz w:val="20"/>
          <w:szCs w:val="20"/>
        </w:rPr>
        <w:t>Wie gewohnt bietet BRÖTJE die WGB-Geräte in einem breiten Leistungsspektrum und mit unterschiedlichen Ausstattungsmerkmalen für individuelle Anforderungen an. Alle Modelle erreichen einen Normnutzungsgrad von 109</w:t>
      </w:r>
      <w:r>
        <w:rPr>
          <w:rFonts w:ascii="Verdana" w:hAnsi="Verdana" w:cs="Gotham Light"/>
          <w:spacing w:val="-5"/>
          <w:sz w:val="20"/>
          <w:szCs w:val="20"/>
        </w:rPr>
        <w:t> </w:t>
      </w:r>
      <w:r w:rsidRPr="00086B90">
        <w:rPr>
          <w:rFonts w:ascii="Verdana" w:hAnsi="Verdana" w:cs="Gotham Light"/>
          <w:spacing w:val="-5"/>
          <w:sz w:val="20"/>
          <w:szCs w:val="20"/>
        </w:rPr>
        <w:t>% und die Energieeffizienzklasse A. Darüber hinaus sind sie H2-ready</w:t>
      </w:r>
      <w:r w:rsidR="009B7272">
        <w:rPr>
          <w:rFonts w:ascii="Verdana" w:hAnsi="Verdana" w:cs="Gotham Light"/>
          <w:spacing w:val="-5"/>
          <w:sz w:val="20"/>
          <w:szCs w:val="20"/>
        </w:rPr>
        <w:t xml:space="preserve">, </w:t>
      </w:r>
      <w:r w:rsidRPr="00086B90">
        <w:rPr>
          <w:rFonts w:ascii="Verdana" w:hAnsi="Verdana" w:cs="Gotham Light"/>
          <w:spacing w:val="-5"/>
          <w:sz w:val="20"/>
          <w:szCs w:val="20"/>
        </w:rPr>
        <w:t xml:space="preserve">können </w:t>
      </w:r>
      <w:r w:rsidR="009B7272">
        <w:rPr>
          <w:rFonts w:ascii="Verdana" w:hAnsi="Verdana" w:cs="Gotham Light"/>
          <w:spacing w:val="-5"/>
          <w:sz w:val="20"/>
          <w:szCs w:val="20"/>
        </w:rPr>
        <w:t xml:space="preserve">also </w:t>
      </w:r>
      <w:r w:rsidRPr="00086B90">
        <w:rPr>
          <w:rFonts w:ascii="Verdana" w:hAnsi="Verdana" w:cs="Gotham Light"/>
          <w:spacing w:val="-5"/>
          <w:sz w:val="20"/>
          <w:szCs w:val="20"/>
        </w:rPr>
        <w:t>bis zu 20</w:t>
      </w:r>
      <w:r>
        <w:rPr>
          <w:rFonts w:ascii="Verdana" w:hAnsi="Verdana" w:cs="Gotham Light"/>
          <w:spacing w:val="-5"/>
          <w:sz w:val="20"/>
          <w:szCs w:val="20"/>
        </w:rPr>
        <w:t> </w:t>
      </w:r>
      <w:r w:rsidRPr="00086B90">
        <w:rPr>
          <w:rFonts w:ascii="Verdana" w:hAnsi="Verdana" w:cs="Gotham Light"/>
          <w:spacing w:val="-5"/>
          <w:sz w:val="20"/>
          <w:szCs w:val="20"/>
        </w:rPr>
        <w:t>% Wasserstoffbeimischung verarbeiten. Der Mischkanal OptiMix verteilt das Gas-Luft-Gemisch homogen, maximiert die Brennstoffverwertung und minimiert die Emissionen. Eine selbstkalibrierende Verbrennungsregelung rundet das Paket ab. Die Anlagen arbeiten nicht nur sparsam und benutzerfreundlich, sondern lassen sich auch einfach montieren und teilweise werkzeuglos warten.</w:t>
      </w:r>
    </w:p>
    <w:p w14:paraId="24A3E4A2" w14:textId="77777777"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p>
    <w:p w14:paraId="2538344F" w14:textId="3AC146AD" w:rsidR="0037177F"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spacing w:val="-5"/>
          <w:sz w:val="20"/>
          <w:szCs w:val="20"/>
        </w:rPr>
        <w:t xml:space="preserve">Der auch preislich attraktive WGB.2 </w:t>
      </w:r>
      <w:r w:rsidR="00090B01">
        <w:rPr>
          <w:rFonts w:ascii="Verdana" w:hAnsi="Verdana" w:cs="Gotham Light"/>
          <w:spacing w:val="-5"/>
          <w:sz w:val="20"/>
          <w:szCs w:val="20"/>
        </w:rPr>
        <w:t xml:space="preserve">ist </w:t>
      </w:r>
      <w:r w:rsidRPr="00086B90">
        <w:rPr>
          <w:rFonts w:ascii="Verdana" w:hAnsi="Verdana" w:cs="Gotham Light"/>
          <w:spacing w:val="-5"/>
          <w:sz w:val="20"/>
          <w:szCs w:val="20"/>
        </w:rPr>
        <w:t>über den Großhandel erhältlich.</w:t>
      </w:r>
    </w:p>
    <w:p w14:paraId="3FC197F5" w14:textId="7E23E889" w:rsidR="0037177F" w:rsidRPr="00086B90" w:rsidRDefault="0037177F" w:rsidP="0037177F">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 Brötje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August-Brötje-Straße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In der Büg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Über die August Brötje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r w:rsidRPr="004816CA">
        <w:rPr>
          <w:rFonts w:ascii="Verdana" w:hAnsi="Verdana" w:cs="Gotham Light"/>
          <w:spacing w:val="-5"/>
          <w:sz w:val="20"/>
          <w:szCs w:val="20"/>
        </w:rPr>
        <w:t>über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7D1E015E"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00</w:t>
      </w:r>
      <w:r w:rsidR="009339A1">
        <w:rPr>
          <w:rFonts w:ascii="Verdana" w:hAnsi="Verdana" w:cs="Arial"/>
          <w:sz w:val="20"/>
          <w:szCs w:val="20"/>
        </w:rPr>
        <w:t>7</w:t>
      </w:r>
      <w:r w:rsidR="008344CA">
        <w:rPr>
          <w:rFonts w:ascii="Verdana" w:hAnsi="Verdana" w:cs="Arial"/>
          <w:sz w:val="20"/>
          <w:szCs w:val="20"/>
        </w:rPr>
        <w:t>b</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3D8FE6" w14:textId="77777777" w:rsidR="00F91908" w:rsidRDefault="00F91908" w:rsidP="00CD6758">
      <w:r>
        <w:separator/>
      </w:r>
    </w:p>
  </w:endnote>
  <w:endnote w:type="continuationSeparator" w:id="0">
    <w:p w14:paraId="27323443" w14:textId="77777777" w:rsidR="00F91908" w:rsidRDefault="00F91908" w:rsidP="00CD6758">
      <w:r>
        <w:continuationSeparator/>
      </w:r>
    </w:p>
  </w:endnote>
  <w:endnote w:type="continuationNotice" w:id="1">
    <w:p w14:paraId="7A4DA6EA" w14:textId="77777777" w:rsidR="00F91908" w:rsidRDefault="00F919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019877990" name="Grafik 2019877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1751237220" name="Grafik 175123722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58C324" w14:textId="77777777" w:rsidR="00F91908" w:rsidRDefault="00F91908" w:rsidP="00CD6758">
      <w:r>
        <w:separator/>
      </w:r>
    </w:p>
  </w:footnote>
  <w:footnote w:type="continuationSeparator" w:id="0">
    <w:p w14:paraId="07367854" w14:textId="77777777" w:rsidR="00F91908" w:rsidRDefault="00F91908" w:rsidP="00CD6758">
      <w:r>
        <w:continuationSeparator/>
      </w:r>
    </w:p>
  </w:footnote>
  <w:footnote w:type="continuationNotice" w:id="1">
    <w:p w14:paraId="1E243879" w14:textId="77777777" w:rsidR="00F91908" w:rsidRDefault="00F919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448792483" name="Grafik 448792483"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9C66B65">
              <v:stroke joinstyle="miter"/>
              <v:path gradientshapeok="t" o:connecttype="rect"/>
            </v:shapetype>
            <v:shape id="Textfeld 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v:textbox>
                <w:txbxContent>
                  <w:p w:rsidRPr="003A45F0" w:rsidR="00B968B1" w:rsidP="00B968B1" w:rsidRDefault="00E554A6" w14:paraId="4C59F685" w14:textId="79E3093F">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1610387943" name="Grafik 1610387943"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602B6"/>
    <w:rsid w:val="00072892"/>
    <w:rsid w:val="0007780A"/>
    <w:rsid w:val="00086B90"/>
    <w:rsid w:val="00090B01"/>
    <w:rsid w:val="000D6582"/>
    <w:rsid w:val="000E7281"/>
    <w:rsid w:val="000F39E8"/>
    <w:rsid w:val="000F531A"/>
    <w:rsid w:val="001009C5"/>
    <w:rsid w:val="00101688"/>
    <w:rsid w:val="00110F1C"/>
    <w:rsid w:val="00130406"/>
    <w:rsid w:val="001311C8"/>
    <w:rsid w:val="001471D0"/>
    <w:rsid w:val="0015085D"/>
    <w:rsid w:val="0016138D"/>
    <w:rsid w:val="0016226F"/>
    <w:rsid w:val="0017233A"/>
    <w:rsid w:val="00173567"/>
    <w:rsid w:val="001750E2"/>
    <w:rsid w:val="0018047C"/>
    <w:rsid w:val="00193E30"/>
    <w:rsid w:val="00193EEB"/>
    <w:rsid w:val="001A2082"/>
    <w:rsid w:val="001A269E"/>
    <w:rsid w:val="001B417D"/>
    <w:rsid w:val="001C4010"/>
    <w:rsid w:val="001D6F8C"/>
    <w:rsid w:val="001F081E"/>
    <w:rsid w:val="002000E6"/>
    <w:rsid w:val="00244A40"/>
    <w:rsid w:val="0024589E"/>
    <w:rsid w:val="002503C5"/>
    <w:rsid w:val="00271AEF"/>
    <w:rsid w:val="002749BA"/>
    <w:rsid w:val="0027668E"/>
    <w:rsid w:val="0028353F"/>
    <w:rsid w:val="002A5D8D"/>
    <w:rsid w:val="002B6089"/>
    <w:rsid w:val="002C29B7"/>
    <w:rsid w:val="002C39D0"/>
    <w:rsid w:val="002C46A7"/>
    <w:rsid w:val="002C51A0"/>
    <w:rsid w:val="002C5814"/>
    <w:rsid w:val="002E15AC"/>
    <w:rsid w:val="002E7B29"/>
    <w:rsid w:val="002F39E5"/>
    <w:rsid w:val="00301ADD"/>
    <w:rsid w:val="003163F3"/>
    <w:rsid w:val="00332E1A"/>
    <w:rsid w:val="00335FC1"/>
    <w:rsid w:val="00337A55"/>
    <w:rsid w:val="00341F6E"/>
    <w:rsid w:val="00352215"/>
    <w:rsid w:val="003636DC"/>
    <w:rsid w:val="0037177F"/>
    <w:rsid w:val="00384A5B"/>
    <w:rsid w:val="003D24B4"/>
    <w:rsid w:val="003D3865"/>
    <w:rsid w:val="003E29CB"/>
    <w:rsid w:val="003F3458"/>
    <w:rsid w:val="00403E68"/>
    <w:rsid w:val="00407AF1"/>
    <w:rsid w:val="00416A99"/>
    <w:rsid w:val="00420F46"/>
    <w:rsid w:val="0042217B"/>
    <w:rsid w:val="00426CE6"/>
    <w:rsid w:val="00431E44"/>
    <w:rsid w:val="00431F0F"/>
    <w:rsid w:val="00433CFD"/>
    <w:rsid w:val="00433F54"/>
    <w:rsid w:val="00467BEB"/>
    <w:rsid w:val="00477070"/>
    <w:rsid w:val="004829EA"/>
    <w:rsid w:val="00484EF9"/>
    <w:rsid w:val="00485781"/>
    <w:rsid w:val="00494447"/>
    <w:rsid w:val="004A78B8"/>
    <w:rsid w:val="004D1B6B"/>
    <w:rsid w:val="004E6830"/>
    <w:rsid w:val="005058D2"/>
    <w:rsid w:val="005059A1"/>
    <w:rsid w:val="00517AE3"/>
    <w:rsid w:val="00523A90"/>
    <w:rsid w:val="005513E9"/>
    <w:rsid w:val="00552623"/>
    <w:rsid w:val="005574D9"/>
    <w:rsid w:val="00557CF6"/>
    <w:rsid w:val="00567767"/>
    <w:rsid w:val="00576160"/>
    <w:rsid w:val="00582F3F"/>
    <w:rsid w:val="00590E14"/>
    <w:rsid w:val="00594E4B"/>
    <w:rsid w:val="005A2FA8"/>
    <w:rsid w:val="005A45AD"/>
    <w:rsid w:val="005A4A93"/>
    <w:rsid w:val="005A739C"/>
    <w:rsid w:val="005B1EFF"/>
    <w:rsid w:val="005B3C82"/>
    <w:rsid w:val="005C0D0D"/>
    <w:rsid w:val="005D1B23"/>
    <w:rsid w:val="005D77DE"/>
    <w:rsid w:val="005E4E45"/>
    <w:rsid w:val="005F0462"/>
    <w:rsid w:val="005F3A29"/>
    <w:rsid w:val="00600AAF"/>
    <w:rsid w:val="00602F6D"/>
    <w:rsid w:val="00605BD6"/>
    <w:rsid w:val="006234AE"/>
    <w:rsid w:val="00642B29"/>
    <w:rsid w:val="006432BC"/>
    <w:rsid w:val="006479C0"/>
    <w:rsid w:val="006554E0"/>
    <w:rsid w:val="00671E3F"/>
    <w:rsid w:val="006913F0"/>
    <w:rsid w:val="0069472D"/>
    <w:rsid w:val="00695380"/>
    <w:rsid w:val="0069654B"/>
    <w:rsid w:val="006A3E05"/>
    <w:rsid w:val="006A6A4B"/>
    <w:rsid w:val="006B1A88"/>
    <w:rsid w:val="006C7766"/>
    <w:rsid w:val="006D09EB"/>
    <w:rsid w:val="006E1B52"/>
    <w:rsid w:val="007057A2"/>
    <w:rsid w:val="00720A61"/>
    <w:rsid w:val="00720C58"/>
    <w:rsid w:val="007346E6"/>
    <w:rsid w:val="00741E00"/>
    <w:rsid w:val="007502F0"/>
    <w:rsid w:val="0075136C"/>
    <w:rsid w:val="0075345E"/>
    <w:rsid w:val="00757498"/>
    <w:rsid w:val="007600CB"/>
    <w:rsid w:val="00760E63"/>
    <w:rsid w:val="007733BB"/>
    <w:rsid w:val="00780103"/>
    <w:rsid w:val="0078638E"/>
    <w:rsid w:val="007A0059"/>
    <w:rsid w:val="007A04C2"/>
    <w:rsid w:val="007B308C"/>
    <w:rsid w:val="007B5097"/>
    <w:rsid w:val="007D342C"/>
    <w:rsid w:val="007D412E"/>
    <w:rsid w:val="007E41FD"/>
    <w:rsid w:val="008112AB"/>
    <w:rsid w:val="008118EE"/>
    <w:rsid w:val="00812705"/>
    <w:rsid w:val="00826647"/>
    <w:rsid w:val="00833697"/>
    <w:rsid w:val="008342D7"/>
    <w:rsid w:val="008344CA"/>
    <w:rsid w:val="00841130"/>
    <w:rsid w:val="008416A8"/>
    <w:rsid w:val="00842555"/>
    <w:rsid w:val="00853E54"/>
    <w:rsid w:val="008623F2"/>
    <w:rsid w:val="0087180F"/>
    <w:rsid w:val="00875FC5"/>
    <w:rsid w:val="00886539"/>
    <w:rsid w:val="0089142C"/>
    <w:rsid w:val="00892C48"/>
    <w:rsid w:val="008934E3"/>
    <w:rsid w:val="00897B68"/>
    <w:rsid w:val="008A10D8"/>
    <w:rsid w:val="008B1AAD"/>
    <w:rsid w:val="008F46AC"/>
    <w:rsid w:val="00903277"/>
    <w:rsid w:val="00905FD3"/>
    <w:rsid w:val="00906710"/>
    <w:rsid w:val="00911C09"/>
    <w:rsid w:val="00914BDD"/>
    <w:rsid w:val="0092552B"/>
    <w:rsid w:val="00927EE0"/>
    <w:rsid w:val="009339A1"/>
    <w:rsid w:val="00936F47"/>
    <w:rsid w:val="00942DE2"/>
    <w:rsid w:val="009458D6"/>
    <w:rsid w:val="0095063A"/>
    <w:rsid w:val="0095499A"/>
    <w:rsid w:val="00955894"/>
    <w:rsid w:val="00974D6D"/>
    <w:rsid w:val="00982EAA"/>
    <w:rsid w:val="009950CD"/>
    <w:rsid w:val="0099671D"/>
    <w:rsid w:val="009A2AD3"/>
    <w:rsid w:val="009A75F5"/>
    <w:rsid w:val="009B1114"/>
    <w:rsid w:val="009B18AB"/>
    <w:rsid w:val="009B7272"/>
    <w:rsid w:val="009C195C"/>
    <w:rsid w:val="009D2BA8"/>
    <w:rsid w:val="009D3F4A"/>
    <w:rsid w:val="00A00264"/>
    <w:rsid w:val="00A17B2A"/>
    <w:rsid w:val="00A20964"/>
    <w:rsid w:val="00A24859"/>
    <w:rsid w:val="00A31815"/>
    <w:rsid w:val="00A33953"/>
    <w:rsid w:val="00A441B0"/>
    <w:rsid w:val="00A53279"/>
    <w:rsid w:val="00A5477D"/>
    <w:rsid w:val="00A5595E"/>
    <w:rsid w:val="00A711D0"/>
    <w:rsid w:val="00AC4152"/>
    <w:rsid w:val="00AC4911"/>
    <w:rsid w:val="00AD3D39"/>
    <w:rsid w:val="00AD3E61"/>
    <w:rsid w:val="00AD447B"/>
    <w:rsid w:val="00AE7250"/>
    <w:rsid w:val="00B11191"/>
    <w:rsid w:val="00B21DD8"/>
    <w:rsid w:val="00B22481"/>
    <w:rsid w:val="00B26D3A"/>
    <w:rsid w:val="00B37416"/>
    <w:rsid w:val="00B379B6"/>
    <w:rsid w:val="00B53BE4"/>
    <w:rsid w:val="00B64106"/>
    <w:rsid w:val="00B85E11"/>
    <w:rsid w:val="00B90DC5"/>
    <w:rsid w:val="00B9513D"/>
    <w:rsid w:val="00B95390"/>
    <w:rsid w:val="00B968B1"/>
    <w:rsid w:val="00BB2915"/>
    <w:rsid w:val="00BC2198"/>
    <w:rsid w:val="00BC5658"/>
    <w:rsid w:val="00BC5E32"/>
    <w:rsid w:val="00BD0BAD"/>
    <w:rsid w:val="00BE3083"/>
    <w:rsid w:val="00BF445A"/>
    <w:rsid w:val="00BF6B63"/>
    <w:rsid w:val="00C224C3"/>
    <w:rsid w:val="00C3753E"/>
    <w:rsid w:val="00C42043"/>
    <w:rsid w:val="00C43228"/>
    <w:rsid w:val="00C529AF"/>
    <w:rsid w:val="00C6105E"/>
    <w:rsid w:val="00C64568"/>
    <w:rsid w:val="00C950B4"/>
    <w:rsid w:val="00CA0315"/>
    <w:rsid w:val="00CA46AD"/>
    <w:rsid w:val="00CB4AD2"/>
    <w:rsid w:val="00CB6621"/>
    <w:rsid w:val="00CD6758"/>
    <w:rsid w:val="00CE0312"/>
    <w:rsid w:val="00CE2E2D"/>
    <w:rsid w:val="00CE341A"/>
    <w:rsid w:val="00CE5549"/>
    <w:rsid w:val="00D2662B"/>
    <w:rsid w:val="00D3054B"/>
    <w:rsid w:val="00D60411"/>
    <w:rsid w:val="00D632A2"/>
    <w:rsid w:val="00D71FF6"/>
    <w:rsid w:val="00D72714"/>
    <w:rsid w:val="00D73139"/>
    <w:rsid w:val="00D84CE5"/>
    <w:rsid w:val="00D86EB2"/>
    <w:rsid w:val="00D94E90"/>
    <w:rsid w:val="00DA6F50"/>
    <w:rsid w:val="00DC38B9"/>
    <w:rsid w:val="00DC5F4E"/>
    <w:rsid w:val="00DD1E2B"/>
    <w:rsid w:val="00DD4377"/>
    <w:rsid w:val="00DF48ED"/>
    <w:rsid w:val="00DF716F"/>
    <w:rsid w:val="00E0588F"/>
    <w:rsid w:val="00E1129B"/>
    <w:rsid w:val="00E11EC2"/>
    <w:rsid w:val="00E20F03"/>
    <w:rsid w:val="00E34441"/>
    <w:rsid w:val="00E357E9"/>
    <w:rsid w:val="00E458A1"/>
    <w:rsid w:val="00E554A6"/>
    <w:rsid w:val="00E62EDF"/>
    <w:rsid w:val="00E650E4"/>
    <w:rsid w:val="00E70350"/>
    <w:rsid w:val="00E708AA"/>
    <w:rsid w:val="00E772E4"/>
    <w:rsid w:val="00E92F3B"/>
    <w:rsid w:val="00EA0137"/>
    <w:rsid w:val="00EA20AB"/>
    <w:rsid w:val="00EA38FC"/>
    <w:rsid w:val="00EB4D84"/>
    <w:rsid w:val="00EB6932"/>
    <w:rsid w:val="00EC7ECE"/>
    <w:rsid w:val="00EE5A8E"/>
    <w:rsid w:val="00EF0C7E"/>
    <w:rsid w:val="00EF6624"/>
    <w:rsid w:val="00EF67D7"/>
    <w:rsid w:val="00F04119"/>
    <w:rsid w:val="00F0655F"/>
    <w:rsid w:val="00F16FEF"/>
    <w:rsid w:val="00F34143"/>
    <w:rsid w:val="00F91908"/>
    <w:rsid w:val="00F954F7"/>
    <w:rsid w:val="00FA3AC7"/>
    <w:rsid w:val="00FA3AE3"/>
    <w:rsid w:val="00FA69DF"/>
    <w:rsid w:val="00FC4B58"/>
    <w:rsid w:val="00FC5314"/>
    <w:rsid w:val="00FD6FA2"/>
    <w:rsid w:val="00FE33A0"/>
    <w:rsid w:val="0A0220AB"/>
    <w:rsid w:val="0A083BD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086B90"/>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A91DE27-5F42-49F0-A937-18A00B35FCE3}">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ee1f8d98bd5e37f9063ed133c920abfe">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2770dd596d4769838ac8401707080351"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2.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4FFB8EE1-7656-4FAD-8626-758EE1BE74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604</Words>
  <Characters>3810</Characters>
  <Application>Microsoft Office Word</Application>
  <DocSecurity>0</DocSecurity>
  <Lines>31</Lines>
  <Paragraphs>8</Paragraphs>
  <ScaleCrop>false</ScaleCrop>
  <Company/>
  <LinksUpToDate>false</LinksUpToDate>
  <CharactersWithSpaces>4406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12</cp:revision>
  <cp:lastPrinted>2018-08-06T03:43:00Z</cp:lastPrinted>
  <dcterms:created xsi:type="dcterms:W3CDTF">2025-03-10T14:10:00Z</dcterms:created>
  <dcterms:modified xsi:type="dcterms:W3CDTF">2025-10-02T12:08:00Z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