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7305A9F6" w14:textId="1E15497E" w:rsidR="00A5477D" w:rsidRDefault="0058545C" w:rsidP="0058545C">
      <w:pPr>
        <w:autoSpaceDE w:val="0"/>
        <w:autoSpaceDN w:val="0"/>
        <w:adjustRightInd w:val="0"/>
        <w:ind w:left="0" w:right="-148"/>
        <w:rPr>
          <w:rFonts w:ascii="Verdana" w:hAnsi="Verdana" w:cs="Arial"/>
          <w:sz w:val="44"/>
          <w:szCs w:val="44"/>
        </w:rPr>
      </w:pPr>
      <w:r w:rsidRPr="0058545C">
        <w:rPr>
          <w:rFonts w:ascii="Verdana" w:hAnsi="Verdana" w:cs="Arial"/>
          <w:sz w:val="44"/>
          <w:szCs w:val="44"/>
        </w:rPr>
        <w:t>Effizienz trifft Komfort: Wärmepumpe mit 25</w:t>
      </w:r>
      <w:r w:rsidR="00F84681">
        <w:rPr>
          <w:rFonts w:ascii="Verdana" w:hAnsi="Verdana" w:cs="Arial"/>
          <w:sz w:val="44"/>
          <w:szCs w:val="44"/>
        </w:rPr>
        <w:t> </w:t>
      </w:r>
      <w:r w:rsidRPr="0058545C">
        <w:rPr>
          <w:rFonts w:ascii="Verdana" w:hAnsi="Verdana" w:cs="Arial"/>
          <w:sz w:val="44"/>
          <w:szCs w:val="44"/>
        </w:rPr>
        <w:t xml:space="preserve">kW Leistung erweitert </w:t>
      </w:r>
      <w:proofErr w:type="gramStart"/>
      <w:r w:rsidRPr="0058545C">
        <w:rPr>
          <w:rFonts w:ascii="Verdana" w:hAnsi="Verdana" w:cs="Arial"/>
          <w:sz w:val="44"/>
          <w:szCs w:val="44"/>
        </w:rPr>
        <w:t>NEO Serie</w:t>
      </w:r>
      <w:proofErr w:type="gramEnd"/>
      <w:r w:rsidRPr="0058545C">
        <w:rPr>
          <w:rFonts w:ascii="Verdana" w:hAnsi="Verdana" w:cs="Arial"/>
          <w:sz w:val="44"/>
          <w:szCs w:val="44"/>
        </w:rPr>
        <w:t xml:space="preserve"> von BRÖTJE</w:t>
      </w:r>
    </w:p>
    <w:p w14:paraId="521A6529" w14:textId="77777777" w:rsidR="0058545C" w:rsidRPr="0078638E" w:rsidRDefault="0058545C" w:rsidP="00E20F03">
      <w:pPr>
        <w:autoSpaceDE w:val="0"/>
        <w:autoSpaceDN w:val="0"/>
        <w:adjustRightInd w:val="0"/>
        <w:ind w:left="0" w:right="-573"/>
        <w:rPr>
          <w:rFonts w:ascii="Verdana" w:hAnsi="Verdana" w:cs="Arial"/>
          <w:b/>
          <w:bCs/>
          <w:sz w:val="34"/>
          <w:szCs w:val="34"/>
        </w:rPr>
      </w:pPr>
    </w:p>
    <w:p w14:paraId="23497D99" w14:textId="286BCE6C" w:rsidR="003D3865" w:rsidRPr="00533D84" w:rsidRDefault="00C950B4" w:rsidP="00E20F03">
      <w:pPr>
        <w:autoSpaceDE w:val="0"/>
        <w:autoSpaceDN w:val="0"/>
        <w:adjustRightInd w:val="0"/>
        <w:spacing w:line="288" w:lineRule="auto"/>
        <w:ind w:left="0" w:right="-573"/>
        <w:rPr>
          <w:rFonts w:ascii="Verdana" w:hAnsi="Verdana" w:cs="Gotham Light"/>
          <w:b/>
          <w:bCs/>
          <w:spacing w:val="-5"/>
          <w:sz w:val="20"/>
          <w:szCs w:val="20"/>
        </w:rPr>
      </w:pPr>
      <w:r w:rsidRPr="00533D84">
        <w:rPr>
          <w:rFonts w:ascii="Verdana" w:hAnsi="Verdana" w:cs="Gotham Light"/>
          <w:b/>
          <w:bCs/>
          <w:spacing w:val="-5"/>
          <w:sz w:val="20"/>
          <w:szCs w:val="20"/>
        </w:rPr>
        <w:t xml:space="preserve">Rastede, </w:t>
      </w:r>
      <w:r w:rsidR="0058545C" w:rsidRPr="00533D84">
        <w:rPr>
          <w:rFonts w:ascii="Verdana" w:hAnsi="Verdana" w:cs="Gotham Light"/>
          <w:b/>
          <w:bCs/>
          <w:spacing w:val="-5"/>
          <w:sz w:val="20"/>
          <w:szCs w:val="20"/>
        </w:rPr>
        <w:t xml:space="preserve">Februar </w:t>
      </w:r>
      <w:r w:rsidR="00AC4911" w:rsidRPr="00533D84">
        <w:rPr>
          <w:rFonts w:ascii="Verdana" w:hAnsi="Verdana" w:cs="Gotham Light"/>
          <w:b/>
          <w:bCs/>
          <w:spacing w:val="-5"/>
          <w:sz w:val="20"/>
          <w:szCs w:val="20"/>
        </w:rPr>
        <w:t>202</w:t>
      </w:r>
      <w:r w:rsidR="00EF0C7E" w:rsidRPr="00533D84">
        <w:rPr>
          <w:rFonts w:ascii="Verdana" w:hAnsi="Verdana" w:cs="Gotham Light"/>
          <w:b/>
          <w:bCs/>
          <w:spacing w:val="-5"/>
          <w:sz w:val="20"/>
          <w:szCs w:val="20"/>
        </w:rPr>
        <w:t>5</w:t>
      </w:r>
      <w:r w:rsidR="00AC4911" w:rsidRPr="00533D84">
        <w:rPr>
          <w:rFonts w:ascii="Verdana" w:hAnsi="Verdana" w:cs="Gotham Light"/>
          <w:b/>
          <w:bCs/>
          <w:spacing w:val="-5"/>
          <w:sz w:val="20"/>
          <w:szCs w:val="20"/>
        </w:rPr>
        <w:t xml:space="preserve">. </w:t>
      </w:r>
      <w:r w:rsidR="00533D84" w:rsidRPr="00533D84">
        <w:rPr>
          <w:rFonts w:ascii="Verdana" w:hAnsi="Verdana" w:cs="Gotham Light"/>
          <w:b/>
          <w:bCs/>
          <w:spacing w:val="-5"/>
          <w:sz w:val="20"/>
          <w:szCs w:val="20"/>
        </w:rPr>
        <w:t>Luft-Wasser-Wärmepumpen der Serie BLW NEO von BRÖTJE haben sich in Projekten bewährt, in denen leistungsstarke Systeme mit hoher Laufruhe und effizientem Wärmekomfort gefragt sind. Jetzt hat der Heizexperte aus Rastede sein Portfolio um die BLW-C NEO 25 B erweitert.</w:t>
      </w:r>
    </w:p>
    <w:p w14:paraId="424F1393" w14:textId="25F28D03" w:rsidR="00F0655F" w:rsidRPr="00E20F03" w:rsidRDefault="00F84681" w:rsidP="00E20F03">
      <w:pPr>
        <w:autoSpaceDE w:val="0"/>
        <w:autoSpaceDN w:val="0"/>
        <w:adjustRightInd w:val="0"/>
        <w:spacing w:line="288" w:lineRule="auto"/>
        <w:ind w:left="0" w:right="-573"/>
        <w:rPr>
          <w:rFonts w:ascii="Verdana" w:hAnsi="Verdana" w:cs="Gotham Light"/>
          <w:b/>
          <w:bCs/>
          <w:spacing w:val="-5"/>
          <w:sz w:val="20"/>
          <w:szCs w:val="20"/>
        </w:rPr>
      </w:pPr>
      <w:r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0D083E7A">
            <wp:simplePos x="0" y="0"/>
            <wp:positionH relativeFrom="column">
              <wp:posOffset>2540</wp:posOffset>
            </wp:positionH>
            <wp:positionV relativeFrom="paragraph">
              <wp:posOffset>455295</wp:posOffset>
            </wp:positionV>
            <wp:extent cx="6011545" cy="3388360"/>
            <wp:effectExtent l="0" t="0" r="8255" b="254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0">
                      <a:extLst>
                        <a:ext uri="{28A0092B-C50C-407E-A947-70E740481C1C}">
                          <a14:useLocalDpi xmlns:a14="http://schemas.microsoft.com/office/drawing/2010/main" val="0"/>
                        </a:ext>
                      </a:extLst>
                    </a:blip>
                    <a:stretch>
                      <a:fillRect/>
                    </a:stretch>
                  </pic:blipFill>
                  <pic:spPr bwMode="auto">
                    <a:xfrm>
                      <a:off x="0" y="0"/>
                      <a:ext cx="6011545" cy="33883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52E1C">
        <w:rPr>
          <w:noProof/>
        </w:rPr>
        <mc:AlternateContent>
          <mc:Choice Requires="wps">
            <w:drawing>
              <wp:anchor distT="0" distB="0" distL="180340" distR="180340" simplePos="0" relativeHeight="251658241" behindDoc="1" locked="0" layoutInCell="1" allowOverlap="0" wp14:anchorId="62A53FC5" wp14:editId="1C5892E6">
                <wp:simplePos x="0" y="0"/>
                <wp:positionH relativeFrom="page">
                  <wp:posOffset>902335</wp:posOffset>
                </wp:positionH>
                <wp:positionV relativeFrom="paragraph">
                  <wp:posOffset>3848372</wp:posOffset>
                </wp:positionV>
                <wp:extent cx="6011545" cy="593725"/>
                <wp:effectExtent l="0" t="0" r="8255" b="0"/>
                <wp:wrapTopAndBottom/>
                <wp:docPr id="27" name="Textfeld 27"/>
                <wp:cNvGraphicFramePr/>
                <a:graphic xmlns:a="http://schemas.openxmlformats.org/drawingml/2006/main">
                  <a:graphicData uri="http://schemas.microsoft.com/office/word/2010/wordprocessingShape">
                    <wps:wsp>
                      <wps:cNvSpPr txBox="1"/>
                      <wps:spPr>
                        <a:xfrm>
                          <a:off x="0" y="0"/>
                          <a:ext cx="6011545" cy="593725"/>
                        </a:xfrm>
                        <a:prstGeom prst="rect">
                          <a:avLst/>
                        </a:prstGeom>
                        <a:solidFill>
                          <a:schemeClr val="lt1"/>
                        </a:solidFill>
                        <a:ln w="6350">
                          <a:noFill/>
                        </a:ln>
                      </wps:spPr>
                      <wps:txbx>
                        <w:txbxContent>
                          <w:p w14:paraId="4832B965" w14:textId="77777777" w:rsidR="000A023D" w:rsidRDefault="000A023D" w:rsidP="00911C09">
                            <w:pPr>
                              <w:autoSpaceDE w:val="0"/>
                              <w:autoSpaceDN w:val="0"/>
                              <w:adjustRightInd w:val="0"/>
                              <w:spacing w:line="288" w:lineRule="auto"/>
                              <w:ind w:left="0" w:right="33"/>
                              <w:rPr>
                                <w:rFonts w:ascii="Verdana" w:hAnsi="Verdana" w:cs="Gotham Light"/>
                                <w:i/>
                                <w:iCs/>
                                <w:spacing w:val="-5"/>
                                <w:sz w:val="18"/>
                                <w:szCs w:val="18"/>
                              </w:rPr>
                            </w:pPr>
                            <w:r w:rsidRPr="000A023D">
                              <w:rPr>
                                <w:rFonts w:ascii="Verdana" w:hAnsi="Verdana" w:cs="Gotham Light"/>
                                <w:i/>
                                <w:iCs/>
                                <w:spacing w:val="-5"/>
                                <w:sz w:val="18"/>
                                <w:szCs w:val="18"/>
                              </w:rPr>
                              <w:t>Die BLW-C NEO 25 B ermöglicht vielseitige Lösungen für unterschiedlichste Anforderungen im Heiz- und Kühlbereich.</w:t>
                            </w:r>
                          </w:p>
                          <w:p w14:paraId="1C995AF2" w14:textId="07CC6B08"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53FC5" id="_x0000_t202" coordsize="21600,21600" o:spt="202" path="m,l,21600r21600,l21600,xe">
                <v:stroke joinstyle="miter"/>
                <v:path gradientshapeok="t" o:connecttype="rect"/>
              </v:shapetype>
              <v:shape id="Textfeld 27" o:spid="_x0000_s1026" type="#_x0000_t202" style="position:absolute;margin-left:71.05pt;margin-top:303pt;width:473.35pt;height:46.75pt;z-index:-251658239;visibility:visible;mso-wrap-style:square;mso-width-percent:0;mso-height-percent:0;mso-wrap-distance-left:14.2pt;mso-wrap-distance-top:0;mso-wrap-distance-right:14.2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" o:allowoverlap="f" fillcolor="white [3201]" stroked="f" strokeweight=".5pt">
                <v:textbox inset="0,,0">
                  <w:txbxContent>
                    <w:p w14:paraId="4832B965" w14:textId="77777777" w:rsidR="000A023D" w:rsidRDefault="000A023D" w:rsidP="00911C09">
                      <w:pPr>
                        <w:autoSpaceDE w:val="0"/>
                        <w:autoSpaceDN w:val="0"/>
                        <w:adjustRightInd w:val="0"/>
                        <w:spacing w:line="288" w:lineRule="auto"/>
                        <w:ind w:left="0" w:right="33"/>
                        <w:rPr>
                          <w:rFonts w:ascii="Verdana" w:hAnsi="Verdana" w:cs="Gotham Light"/>
                          <w:i/>
                          <w:iCs/>
                          <w:spacing w:val="-5"/>
                          <w:sz w:val="18"/>
                          <w:szCs w:val="18"/>
                        </w:rPr>
                      </w:pPr>
                      <w:r w:rsidRPr="000A023D">
                        <w:rPr>
                          <w:rFonts w:ascii="Verdana" w:hAnsi="Verdana" w:cs="Gotham Light"/>
                          <w:i/>
                          <w:iCs/>
                          <w:spacing w:val="-5"/>
                          <w:sz w:val="18"/>
                          <w:szCs w:val="18"/>
                        </w:rPr>
                        <w:t>Die BLW-C NEO 25 B ermöglicht vielseitige Lösungen für unterschiedlichste Anforderungen im Heiz- und Kühlbereich.</w:t>
                      </w:r>
                    </w:p>
                    <w:p w14:paraId="1C995AF2" w14:textId="07CC6B08"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v:textbox>
                <w10:wrap type="topAndBottom" anchorx="page"/>
              </v:shape>
            </w:pict>
          </mc:Fallback>
        </mc:AlternateContent>
      </w:r>
    </w:p>
    <w:p w14:paraId="23B2CB98" w14:textId="050144FA" w:rsidR="002C5814" w:rsidRPr="00E20F03" w:rsidRDefault="002C5814" w:rsidP="00E20F03">
      <w:pPr>
        <w:autoSpaceDE w:val="0"/>
        <w:autoSpaceDN w:val="0"/>
        <w:adjustRightInd w:val="0"/>
        <w:spacing w:line="288" w:lineRule="auto"/>
        <w:ind w:left="0" w:right="-573"/>
        <w:rPr>
          <w:rFonts w:ascii="Verdana" w:hAnsi="Verdana" w:cs="Gotham Light"/>
          <w:b/>
          <w:bCs/>
          <w:spacing w:val="-5"/>
          <w:sz w:val="20"/>
          <w:szCs w:val="20"/>
        </w:rPr>
      </w:pPr>
    </w:p>
    <w:p w14:paraId="7E48A6BF" w14:textId="447FDF53" w:rsidR="003D3865" w:rsidRPr="00E20F03" w:rsidRDefault="003D3865" w:rsidP="00E20F03">
      <w:pPr>
        <w:autoSpaceDE w:val="0"/>
        <w:autoSpaceDN w:val="0"/>
        <w:adjustRightInd w:val="0"/>
        <w:spacing w:line="24" w:lineRule="atLeast"/>
        <w:ind w:left="0" w:right="-573"/>
        <w:rPr>
          <w:rFonts w:ascii="Verdana" w:hAnsi="Verdana" w:cs="Gotham Light"/>
          <w:b/>
          <w:bCs/>
          <w:spacing w:val="-5"/>
          <w:sz w:val="20"/>
          <w:szCs w:val="20"/>
        </w:rPr>
      </w:pPr>
    </w:p>
    <w:p w14:paraId="19901A4A" w14:textId="77777777" w:rsidR="00A17B2A" w:rsidRDefault="00A17B2A" w:rsidP="00E20F03">
      <w:pPr>
        <w:autoSpaceDE w:val="0"/>
        <w:autoSpaceDN w:val="0"/>
        <w:adjustRightInd w:val="0"/>
        <w:spacing w:line="288" w:lineRule="auto"/>
        <w:ind w:left="0" w:right="-573"/>
        <w:rPr>
          <w:rFonts w:ascii="Verdana" w:hAnsi="Verdana" w:cs="Gotham Light"/>
          <w:spacing w:val="-5"/>
          <w:sz w:val="20"/>
          <w:szCs w:val="20"/>
        </w:rPr>
        <w:sectPr w:rsidR="00A17B2A" w:rsidSect="00F04119">
          <w:headerReference w:type="default" r:id="rId11"/>
          <w:footerReference w:type="even" r:id="rId12"/>
          <w:footerReference w:type="default" r:id="rId13"/>
          <w:headerReference w:type="first" r:id="rId14"/>
          <w:footerReference w:type="first" r:id="rId15"/>
          <w:pgSz w:w="11900" w:h="16840"/>
          <w:pgMar w:top="2350" w:right="1417" w:bottom="1743" w:left="1417" w:header="709" w:footer="709" w:gutter="0"/>
          <w:cols w:space="708"/>
          <w:docGrid w:linePitch="360"/>
        </w:sectPr>
      </w:pPr>
    </w:p>
    <w:p w14:paraId="5790FFE3" w14:textId="64C2B003" w:rsidR="00F84681" w:rsidRDefault="00F84681" w:rsidP="00F84681">
      <w:pPr>
        <w:autoSpaceDE w:val="0"/>
        <w:autoSpaceDN w:val="0"/>
        <w:adjustRightInd w:val="0"/>
        <w:spacing w:line="288" w:lineRule="auto"/>
        <w:ind w:left="0" w:right="-573"/>
        <w:rPr>
          <w:rFonts w:ascii="Verdana" w:hAnsi="Verdana" w:cs="Gotham Light"/>
          <w:spacing w:val="-5"/>
          <w:sz w:val="20"/>
          <w:szCs w:val="20"/>
        </w:rPr>
      </w:pPr>
      <w:r w:rsidRPr="00F84681">
        <w:rPr>
          <w:rFonts w:ascii="Verdana" w:hAnsi="Verdana" w:cs="Gotham Light"/>
          <w:spacing w:val="-5"/>
          <w:sz w:val="20"/>
          <w:szCs w:val="20"/>
        </w:rPr>
        <w:t>Die BLW-C NEO 25 B überzeugt mit hervorragenden technischen Eigenschaften. Analog zu den “kleinen" BLW NEO Varianten mit 8, 12 und 18</w:t>
      </w:r>
      <w:r>
        <w:rPr>
          <w:rFonts w:ascii="Verdana" w:hAnsi="Verdana" w:cs="Gotham Light"/>
          <w:spacing w:val="-5"/>
          <w:sz w:val="20"/>
          <w:szCs w:val="20"/>
        </w:rPr>
        <w:t> </w:t>
      </w:r>
      <w:r w:rsidRPr="00F84681">
        <w:rPr>
          <w:rFonts w:ascii="Verdana" w:hAnsi="Verdana" w:cs="Gotham Light"/>
          <w:spacing w:val="-5"/>
          <w:sz w:val="20"/>
          <w:szCs w:val="20"/>
        </w:rPr>
        <w:t>kW meistert sie mit einer Heizleistung von 25</w:t>
      </w:r>
      <w:r>
        <w:rPr>
          <w:rFonts w:ascii="Verdana" w:hAnsi="Verdana" w:cs="Gotham Light"/>
          <w:spacing w:val="-5"/>
          <w:sz w:val="20"/>
          <w:szCs w:val="20"/>
        </w:rPr>
        <w:t> </w:t>
      </w:r>
      <w:r w:rsidRPr="00F84681">
        <w:rPr>
          <w:rFonts w:ascii="Verdana" w:hAnsi="Verdana" w:cs="Gotham Light"/>
          <w:spacing w:val="-5"/>
          <w:sz w:val="20"/>
          <w:szCs w:val="20"/>
        </w:rPr>
        <w:t xml:space="preserve">kW auch Einsätze bei niedrigen Außentemperaturen zuverlässig. Als Besonderheit verfügt die Wärmepumpe serienmäßig über eine Kühlfunktion und </w:t>
      </w:r>
      <w:r w:rsidR="00D108B6">
        <w:rPr>
          <w:rFonts w:ascii="Verdana" w:hAnsi="Verdana" w:cs="Gotham Light"/>
          <w:spacing w:val="-5"/>
          <w:sz w:val="20"/>
          <w:szCs w:val="20"/>
        </w:rPr>
        <w:t xml:space="preserve">garantiert </w:t>
      </w:r>
      <w:r w:rsidRPr="00F84681">
        <w:rPr>
          <w:rFonts w:ascii="Verdana" w:hAnsi="Verdana" w:cs="Gotham Light"/>
          <w:spacing w:val="-5"/>
          <w:sz w:val="20"/>
          <w:szCs w:val="20"/>
        </w:rPr>
        <w:t>so ganzjährigen Komfort.</w:t>
      </w:r>
    </w:p>
    <w:p w14:paraId="761613F6" w14:textId="77777777" w:rsidR="00D108B6" w:rsidRPr="00F84681" w:rsidRDefault="00D108B6" w:rsidP="00F84681">
      <w:pPr>
        <w:autoSpaceDE w:val="0"/>
        <w:autoSpaceDN w:val="0"/>
        <w:adjustRightInd w:val="0"/>
        <w:spacing w:line="288" w:lineRule="auto"/>
        <w:ind w:left="0" w:right="-573"/>
        <w:rPr>
          <w:rFonts w:ascii="Verdana" w:hAnsi="Verdana" w:cs="Gotham Light"/>
          <w:spacing w:val="-5"/>
          <w:sz w:val="20"/>
          <w:szCs w:val="20"/>
        </w:rPr>
      </w:pPr>
    </w:p>
    <w:p w14:paraId="70B57E14" w14:textId="7BCE29F7" w:rsidR="00F84681" w:rsidRDefault="00F84681" w:rsidP="00F84681">
      <w:pPr>
        <w:autoSpaceDE w:val="0"/>
        <w:autoSpaceDN w:val="0"/>
        <w:adjustRightInd w:val="0"/>
        <w:spacing w:line="288" w:lineRule="auto"/>
        <w:ind w:left="0" w:right="-573"/>
        <w:rPr>
          <w:rFonts w:ascii="Verdana" w:hAnsi="Verdana" w:cs="Gotham Light"/>
          <w:spacing w:val="-5"/>
          <w:sz w:val="20"/>
          <w:szCs w:val="20"/>
        </w:rPr>
      </w:pPr>
      <w:r w:rsidRPr="00F84681">
        <w:rPr>
          <w:rFonts w:ascii="Verdana" w:hAnsi="Verdana" w:cs="Gotham Light"/>
          <w:spacing w:val="-5"/>
          <w:sz w:val="20"/>
          <w:szCs w:val="20"/>
        </w:rPr>
        <w:t>Der modulierende Scroll-Verdichter sorgt in Kombination mit dem einzigartigen Wärmetauscher-Verbundsystem für einen außergewöhnlich hohen Wirkungsgrad. Der COP-Wert (</w:t>
      </w:r>
      <w:proofErr w:type="spellStart"/>
      <w:r w:rsidRPr="00F84681">
        <w:rPr>
          <w:rFonts w:ascii="Verdana" w:hAnsi="Verdana" w:cs="Gotham Light"/>
          <w:spacing w:val="-5"/>
          <w:sz w:val="20"/>
          <w:szCs w:val="20"/>
        </w:rPr>
        <w:t>Coefficient</w:t>
      </w:r>
      <w:proofErr w:type="spellEnd"/>
      <w:r w:rsidRPr="00F84681">
        <w:rPr>
          <w:rFonts w:ascii="Verdana" w:hAnsi="Verdana" w:cs="Gotham Light"/>
          <w:spacing w:val="-5"/>
          <w:sz w:val="20"/>
          <w:szCs w:val="20"/>
        </w:rPr>
        <w:t xml:space="preserve"> </w:t>
      </w:r>
      <w:proofErr w:type="spellStart"/>
      <w:r w:rsidRPr="00F84681">
        <w:rPr>
          <w:rFonts w:ascii="Verdana" w:hAnsi="Verdana" w:cs="Gotham Light"/>
          <w:spacing w:val="-5"/>
          <w:sz w:val="20"/>
          <w:szCs w:val="20"/>
        </w:rPr>
        <w:t>of</w:t>
      </w:r>
      <w:proofErr w:type="spellEnd"/>
      <w:r w:rsidRPr="00F84681">
        <w:rPr>
          <w:rFonts w:ascii="Verdana" w:hAnsi="Verdana" w:cs="Gotham Light"/>
          <w:spacing w:val="-5"/>
          <w:sz w:val="20"/>
          <w:szCs w:val="20"/>
        </w:rPr>
        <w:t xml:space="preserve"> Performance = Leistungskoeffizient) von über 4 eröffnet beste Fördermöglichkeiten, während der integrierte Energiezähler </w:t>
      </w:r>
      <w:r w:rsidR="0088725B">
        <w:rPr>
          <w:rFonts w:ascii="Verdana" w:hAnsi="Verdana" w:cs="Gotham Light"/>
          <w:spacing w:val="-5"/>
          <w:sz w:val="20"/>
          <w:szCs w:val="20"/>
        </w:rPr>
        <w:t>das</w:t>
      </w:r>
      <w:r w:rsidRPr="00F84681">
        <w:rPr>
          <w:rFonts w:ascii="Verdana" w:hAnsi="Verdana" w:cs="Gotham Light"/>
          <w:spacing w:val="-5"/>
          <w:sz w:val="20"/>
          <w:szCs w:val="20"/>
        </w:rPr>
        <w:t xml:space="preserve"> Monitoring</w:t>
      </w:r>
      <w:r w:rsidR="0088725B">
        <w:rPr>
          <w:rFonts w:ascii="Verdana" w:hAnsi="Verdana" w:cs="Gotham Light"/>
          <w:spacing w:val="-5"/>
          <w:sz w:val="20"/>
          <w:szCs w:val="20"/>
        </w:rPr>
        <w:t xml:space="preserve"> </w:t>
      </w:r>
      <w:r w:rsidR="001744D2">
        <w:rPr>
          <w:rFonts w:ascii="Verdana" w:hAnsi="Verdana" w:cs="Gotham Light"/>
          <w:spacing w:val="-5"/>
          <w:sz w:val="20"/>
          <w:szCs w:val="20"/>
        </w:rPr>
        <w:t>erleichtert</w:t>
      </w:r>
      <w:r w:rsidRPr="00F84681">
        <w:rPr>
          <w:rFonts w:ascii="Verdana" w:hAnsi="Verdana" w:cs="Gotham Light"/>
          <w:spacing w:val="-5"/>
          <w:sz w:val="20"/>
          <w:szCs w:val="20"/>
        </w:rPr>
        <w:t>. Für ein größeres Leistungsspektrum können mehrere Geräte in Kaskade geschaltet und witterungsgeführt betrieben werden.</w:t>
      </w:r>
    </w:p>
    <w:p w14:paraId="7F5D71E3" w14:textId="77777777" w:rsidR="00F84681" w:rsidRPr="00F84681" w:rsidRDefault="00F84681" w:rsidP="00F84681">
      <w:pPr>
        <w:autoSpaceDE w:val="0"/>
        <w:autoSpaceDN w:val="0"/>
        <w:adjustRightInd w:val="0"/>
        <w:spacing w:line="288" w:lineRule="auto"/>
        <w:ind w:left="0" w:right="-573"/>
        <w:rPr>
          <w:rFonts w:ascii="Verdana" w:hAnsi="Verdana" w:cs="Gotham Light"/>
          <w:spacing w:val="-5"/>
          <w:sz w:val="20"/>
          <w:szCs w:val="20"/>
        </w:rPr>
      </w:pPr>
    </w:p>
    <w:p w14:paraId="3BBDD63F" w14:textId="2F2CEFC1" w:rsidR="005A45AD" w:rsidRDefault="00F84681" w:rsidP="00F84681">
      <w:pPr>
        <w:autoSpaceDE w:val="0"/>
        <w:autoSpaceDN w:val="0"/>
        <w:adjustRightInd w:val="0"/>
        <w:spacing w:line="288" w:lineRule="auto"/>
        <w:ind w:left="0" w:right="-573"/>
        <w:rPr>
          <w:rFonts w:ascii="Verdana" w:hAnsi="Verdana" w:cs="Gotham Light"/>
          <w:spacing w:val="-5"/>
          <w:sz w:val="20"/>
          <w:szCs w:val="20"/>
        </w:rPr>
      </w:pPr>
      <w:r w:rsidRPr="00F84681">
        <w:rPr>
          <w:rFonts w:ascii="Verdana" w:hAnsi="Verdana" w:cs="Gotham Light"/>
          <w:spacing w:val="-5"/>
          <w:sz w:val="20"/>
          <w:szCs w:val="20"/>
        </w:rPr>
        <w:t xml:space="preserve">Auch die Einbindung in ein Hybridsystem, beispielsweise zur Entlastung eines vorhandenen Gas-Brennwertkessels, ist </w:t>
      </w:r>
      <w:r w:rsidR="00624CC4">
        <w:rPr>
          <w:rFonts w:ascii="Verdana" w:hAnsi="Verdana" w:cs="Gotham Light"/>
          <w:spacing w:val="-5"/>
          <w:sz w:val="20"/>
          <w:szCs w:val="20"/>
        </w:rPr>
        <w:t>realisierbar</w:t>
      </w:r>
      <w:r w:rsidRPr="00F84681">
        <w:rPr>
          <w:rFonts w:ascii="Verdana" w:hAnsi="Verdana" w:cs="Gotham Light"/>
          <w:spacing w:val="-5"/>
          <w:sz w:val="20"/>
          <w:szCs w:val="20"/>
        </w:rPr>
        <w:t>. Hierfür stehen Regler wie der Energiemanagementregler EMR zur Verfügung, die alle Geräte im Hybridsystem so vernetzen, dass sie möglichst effizient und kostengünstig arbeiten.</w:t>
      </w:r>
    </w:p>
    <w:p w14:paraId="37090A49" w14:textId="77777777" w:rsidR="00F84681" w:rsidRPr="00F84681" w:rsidRDefault="00F84681" w:rsidP="00F84681">
      <w:pPr>
        <w:autoSpaceDE w:val="0"/>
        <w:autoSpaceDN w:val="0"/>
        <w:adjustRightInd w:val="0"/>
        <w:spacing w:line="288" w:lineRule="auto"/>
        <w:ind w:left="0" w:right="-573"/>
        <w:rPr>
          <w:rFonts w:ascii="Verdana" w:hAnsi="Verdana" w:cs="Gotham Light"/>
          <w:b/>
          <w:bCs/>
          <w:spacing w:val="-5"/>
          <w:sz w:val="20"/>
          <w:szCs w:val="20"/>
        </w:rPr>
      </w:pPr>
    </w:p>
    <w:p w14:paraId="0B071FF8" w14:textId="77777777" w:rsidR="00BF167A" w:rsidRPr="00BF167A" w:rsidRDefault="00BF167A" w:rsidP="00A17B2A">
      <w:pPr>
        <w:autoSpaceDE w:val="0"/>
        <w:autoSpaceDN w:val="0"/>
        <w:adjustRightInd w:val="0"/>
        <w:spacing w:line="288" w:lineRule="auto"/>
        <w:ind w:left="0" w:right="-573"/>
        <w:rPr>
          <w:rFonts w:ascii="Verdana" w:eastAsiaTheme="minorHAnsi" w:hAnsi="Verdana" w:cstheme="minorBidi"/>
          <w:b/>
          <w:bCs/>
          <w:sz w:val="20"/>
          <w:szCs w:val="20"/>
          <w:lang w:eastAsia="en-US"/>
        </w:rPr>
      </w:pPr>
      <w:r w:rsidRPr="00BF167A">
        <w:rPr>
          <w:rFonts w:ascii="Verdana" w:eastAsiaTheme="minorHAnsi" w:hAnsi="Verdana" w:cstheme="minorBidi"/>
          <w:b/>
          <w:bCs/>
          <w:sz w:val="20"/>
          <w:szCs w:val="20"/>
          <w:lang w:eastAsia="en-US"/>
        </w:rPr>
        <w:t xml:space="preserve">Leiser Betrieb durch geräuschoptimierte Konstruktion </w:t>
      </w:r>
    </w:p>
    <w:p w14:paraId="18E0D86F" w14:textId="7C9CEF90" w:rsidR="005C6A89" w:rsidRDefault="005C6A89" w:rsidP="0037177F">
      <w:pPr>
        <w:autoSpaceDE w:val="0"/>
        <w:autoSpaceDN w:val="0"/>
        <w:adjustRightInd w:val="0"/>
        <w:spacing w:line="288" w:lineRule="auto"/>
        <w:ind w:left="0" w:right="-573"/>
        <w:rPr>
          <w:rFonts w:ascii="Verdana" w:hAnsi="Verdana" w:cs="Gotham Light"/>
          <w:spacing w:val="-5"/>
          <w:sz w:val="20"/>
          <w:szCs w:val="20"/>
        </w:rPr>
      </w:pPr>
      <w:r w:rsidRPr="005C6A89">
        <w:rPr>
          <w:rFonts w:ascii="Verdana" w:hAnsi="Verdana" w:cs="Gotham Light"/>
          <w:spacing w:val="-5"/>
          <w:sz w:val="20"/>
          <w:szCs w:val="20"/>
        </w:rPr>
        <w:t xml:space="preserve">Ein weiteres Highlight ist das geräuschoptimierte Design mit Eulenflügel-Ventilatoren, das </w:t>
      </w:r>
      <w:r w:rsidR="0005308C">
        <w:rPr>
          <w:rFonts w:ascii="Verdana" w:hAnsi="Verdana" w:cs="Gotham Light"/>
          <w:spacing w:val="-5"/>
          <w:sz w:val="20"/>
          <w:szCs w:val="20"/>
        </w:rPr>
        <w:t xml:space="preserve">den Betrieb </w:t>
      </w:r>
      <w:r w:rsidRPr="005C6A89">
        <w:rPr>
          <w:rFonts w:ascii="Verdana" w:hAnsi="Verdana" w:cs="Gotham Light"/>
          <w:spacing w:val="-5"/>
          <w:sz w:val="20"/>
          <w:szCs w:val="20"/>
        </w:rPr>
        <w:t xml:space="preserve">auch bei Volllast </w:t>
      </w:r>
      <w:proofErr w:type="gramStart"/>
      <w:r w:rsidRPr="005C6A89">
        <w:rPr>
          <w:rFonts w:ascii="Verdana" w:hAnsi="Verdana" w:cs="Gotham Light"/>
          <w:spacing w:val="-5"/>
          <w:sz w:val="20"/>
          <w:szCs w:val="20"/>
        </w:rPr>
        <w:t>extrem leise</w:t>
      </w:r>
      <w:proofErr w:type="gramEnd"/>
      <w:r w:rsidR="0005308C">
        <w:rPr>
          <w:rFonts w:ascii="Verdana" w:hAnsi="Verdana" w:cs="Gotham Light"/>
          <w:spacing w:val="-5"/>
          <w:sz w:val="20"/>
          <w:szCs w:val="20"/>
        </w:rPr>
        <w:t xml:space="preserve"> macht</w:t>
      </w:r>
      <w:r w:rsidRPr="005C6A89">
        <w:rPr>
          <w:rFonts w:ascii="Verdana" w:hAnsi="Verdana" w:cs="Gotham Light"/>
          <w:spacing w:val="-5"/>
          <w:sz w:val="20"/>
          <w:szCs w:val="20"/>
        </w:rPr>
        <w:t>. Mit 55</w:t>
      </w:r>
      <w:r>
        <w:rPr>
          <w:rFonts w:ascii="Verdana" w:hAnsi="Verdana" w:cs="Gotham Light"/>
          <w:spacing w:val="-5"/>
          <w:sz w:val="20"/>
          <w:szCs w:val="20"/>
        </w:rPr>
        <w:t> </w:t>
      </w:r>
      <w:r w:rsidRPr="005C6A89">
        <w:rPr>
          <w:rFonts w:ascii="Verdana" w:hAnsi="Verdana" w:cs="Gotham Light"/>
          <w:spacing w:val="-5"/>
          <w:sz w:val="20"/>
          <w:szCs w:val="20"/>
        </w:rPr>
        <w:t>dB[A] bei A7/W55 nach EN 12102 im Normbetrieb hat die Wärmepumpe für ihre Leistungsstärke bemerkenswert niedrige Schallwerte</w:t>
      </w:r>
      <w:r w:rsidR="0005308C">
        <w:rPr>
          <w:rFonts w:ascii="Verdana" w:hAnsi="Verdana" w:cs="Gotham Light"/>
          <w:spacing w:val="-5"/>
          <w:sz w:val="20"/>
          <w:szCs w:val="20"/>
        </w:rPr>
        <w:t xml:space="preserve">. </w:t>
      </w:r>
      <w:r w:rsidR="00593CB3">
        <w:rPr>
          <w:rFonts w:ascii="Verdana" w:hAnsi="Verdana" w:cs="Gotham Light"/>
          <w:spacing w:val="-5"/>
          <w:sz w:val="20"/>
          <w:szCs w:val="20"/>
        </w:rPr>
        <w:t xml:space="preserve"> </w:t>
      </w:r>
      <w:r w:rsidR="003767D4">
        <w:rPr>
          <w:rFonts w:ascii="Verdana" w:hAnsi="Verdana" w:cs="Gotham Light"/>
          <w:spacing w:val="-5"/>
          <w:sz w:val="20"/>
          <w:szCs w:val="20"/>
        </w:rPr>
        <w:t>Zudem b</w:t>
      </w:r>
      <w:r w:rsidR="006C4B8B">
        <w:rPr>
          <w:rFonts w:ascii="Verdana" w:hAnsi="Verdana" w:cs="Gotham Light"/>
          <w:spacing w:val="-5"/>
          <w:sz w:val="20"/>
          <w:szCs w:val="20"/>
        </w:rPr>
        <w:t xml:space="preserve">esitzt sie </w:t>
      </w:r>
      <w:r w:rsidRPr="005C6A89">
        <w:rPr>
          <w:rFonts w:ascii="Verdana" w:hAnsi="Verdana" w:cs="Gotham Light"/>
          <w:spacing w:val="-5"/>
          <w:sz w:val="20"/>
          <w:szCs w:val="20"/>
        </w:rPr>
        <w:t xml:space="preserve">ein außergewöhnlich elegantes Design </w:t>
      </w:r>
      <w:r w:rsidR="00CA416E">
        <w:rPr>
          <w:rFonts w:ascii="Verdana" w:hAnsi="Verdana" w:cs="Gotham Light"/>
          <w:spacing w:val="-5"/>
          <w:sz w:val="20"/>
          <w:szCs w:val="20"/>
        </w:rPr>
        <w:t>–</w:t>
      </w:r>
      <w:r w:rsidRPr="005C6A89">
        <w:rPr>
          <w:rFonts w:ascii="Verdana" w:hAnsi="Verdana" w:cs="Gotham Light"/>
          <w:spacing w:val="-5"/>
          <w:sz w:val="20"/>
          <w:szCs w:val="20"/>
        </w:rPr>
        <w:t xml:space="preserve"> ideale Voraussetzungen für den Einsatz in dicht bebauten städtischen Mehrfamilienhäusern. Daneben eignet sie sich auch für gewerbliche Anwendungen sowohl im Bestand als auch im Neubau.</w:t>
      </w:r>
    </w:p>
    <w:p w14:paraId="01250F9F" w14:textId="77777777" w:rsidR="005C6A89" w:rsidRDefault="005C6A89" w:rsidP="0037177F">
      <w:pPr>
        <w:autoSpaceDE w:val="0"/>
        <w:autoSpaceDN w:val="0"/>
        <w:adjustRightInd w:val="0"/>
        <w:spacing w:line="288" w:lineRule="auto"/>
        <w:ind w:left="0" w:right="-573"/>
        <w:rPr>
          <w:rFonts w:ascii="Verdana" w:hAnsi="Verdana" w:cs="Gotham Light"/>
          <w:spacing w:val="-5"/>
          <w:sz w:val="20"/>
          <w:szCs w:val="20"/>
        </w:rPr>
      </w:pPr>
    </w:p>
    <w:p w14:paraId="53D575D9" w14:textId="77777777" w:rsidR="00F83DE2" w:rsidRPr="00F83DE2" w:rsidRDefault="00F83DE2" w:rsidP="00F83DE2">
      <w:pPr>
        <w:autoSpaceDE w:val="0"/>
        <w:autoSpaceDN w:val="0"/>
        <w:adjustRightInd w:val="0"/>
        <w:spacing w:line="288" w:lineRule="auto"/>
        <w:ind w:left="0" w:right="-573"/>
        <w:rPr>
          <w:rFonts w:ascii="Verdana" w:eastAsiaTheme="minorHAnsi" w:hAnsi="Verdana" w:cstheme="minorBidi"/>
          <w:b/>
          <w:bCs/>
          <w:sz w:val="20"/>
          <w:szCs w:val="20"/>
          <w:lang w:eastAsia="en-US"/>
        </w:rPr>
      </w:pPr>
      <w:r w:rsidRPr="00F83DE2">
        <w:rPr>
          <w:rFonts w:ascii="Verdana" w:eastAsiaTheme="minorHAnsi" w:hAnsi="Verdana" w:cstheme="minorBidi"/>
          <w:b/>
          <w:bCs/>
          <w:sz w:val="20"/>
          <w:szCs w:val="20"/>
          <w:lang w:eastAsia="en-US"/>
        </w:rPr>
        <w:t xml:space="preserve">Einfache Installation </w:t>
      </w:r>
    </w:p>
    <w:p w14:paraId="3F16ECEF" w14:textId="590AA4C7" w:rsidR="00F83DE2" w:rsidRDefault="00F83DE2" w:rsidP="00F83DE2">
      <w:pPr>
        <w:autoSpaceDE w:val="0"/>
        <w:autoSpaceDN w:val="0"/>
        <w:adjustRightInd w:val="0"/>
        <w:spacing w:line="288" w:lineRule="auto"/>
        <w:ind w:left="0" w:right="-573"/>
        <w:rPr>
          <w:rFonts w:ascii="Verdana" w:hAnsi="Verdana" w:cs="Gotham Light"/>
          <w:spacing w:val="-5"/>
          <w:sz w:val="20"/>
          <w:szCs w:val="20"/>
        </w:rPr>
      </w:pPr>
      <w:r w:rsidRPr="00F83DE2">
        <w:rPr>
          <w:rFonts w:ascii="Verdana" w:hAnsi="Verdana" w:cs="Gotham Light"/>
          <w:spacing w:val="-5"/>
          <w:sz w:val="20"/>
          <w:szCs w:val="20"/>
        </w:rPr>
        <w:t xml:space="preserve">Die Anlage verfügt über einen geschlossenen Kältekreislauf und kann daher ohne Kälteschein installiert werden. Mit optimierten Anschlüssen, </w:t>
      </w:r>
      <w:proofErr w:type="spellStart"/>
      <w:r w:rsidRPr="00F83DE2">
        <w:rPr>
          <w:rFonts w:ascii="Verdana" w:hAnsi="Verdana" w:cs="Gotham Light"/>
          <w:spacing w:val="-5"/>
          <w:sz w:val="20"/>
          <w:szCs w:val="20"/>
        </w:rPr>
        <w:t>Kranösen</w:t>
      </w:r>
      <w:proofErr w:type="spellEnd"/>
      <w:r w:rsidRPr="00F83DE2">
        <w:rPr>
          <w:rFonts w:ascii="Verdana" w:hAnsi="Verdana" w:cs="Gotham Light"/>
          <w:spacing w:val="-5"/>
          <w:sz w:val="20"/>
          <w:szCs w:val="20"/>
        </w:rPr>
        <w:t xml:space="preserve"> sowie praktischen Aufstellfüßen </w:t>
      </w:r>
      <w:r w:rsidR="00ED6E7E" w:rsidRPr="00F83DE2">
        <w:rPr>
          <w:rFonts w:ascii="Verdana" w:hAnsi="Verdana" w:cs="Gotham Light"/>
          <w:spacing w:val="-5"/>
          <w:sz w:val="20"/>
          <w:szCs w:val="20"/>
        </w:rPr>
        <w:t>er</w:t>
      </w:r>
      <w:r w:rsidR="00ED6E7E">
        <w:rPr>
          <w:rFonts w:ascii="Verdana" w:hAnsi="Verdana" w:cs="Gotham Light"/>
          <w:spacing w:val="-5"/>
          <w:sz w:val="20"/>
          <w:szCs w:val="20"/>
        </w:rPr>
        <w:t>laubt</w:t>
      </w:r>
      <w:r w:rsidR="00ED6E7E" w:rsidRPr="00F83DE2">
        <w:rPr>
          <w:rFonts w:ascii="Verdana" w:hAnsi="Verdana" w:cs="Gotham Light"/>
          <w:spacing w:val="-5"/>
          <w:sz w:val="20"/>
          <w:szCs w:val="20"/>
        </w:rPr>
        <w:t xml:space="preserve"> </w:t>
      </w:r>
      <w:r w:rsidRPr="00F83DE2">
        <w:rPr>
          <w:rFonts w:ascii="Verdana" w:hAnsi="Verdana" w:cs="Gotham Light"/>
          <w:spacing w:val="-5"/>
          <w:sz w:val="20"/>
          <w:szCs w:val="20"/>
        </w:rPr>
        <w:t>sie einen einfachen Transport und eine schnelle Installation bei Abmessungen von 2.032</w:t>
      </w:r>
      <w:r>
        <w:rPr>
          <w:rFonts w:ascii="Verdana" w:hAnsi="Verdana" w:cs="Gotham Light"/>
          <w:spacing w:val="-5"/>
          <w:sz w:val="20"/>
          <w:szCs w:val="20"/>
        </w:rPr>
        <w:t> </w:t>
      </w:r>
      <w:r w:rsidRPr="00F83DE2">
        <w:rPr>
          <w:rFonts w:ascii="Verdana" w:hAnsi="Verdana" w:cs="Gotham Light"/>
          <w:spacing w:val="-5"/>
          <w:sz w:val="20"/>
          <w:szCs w:val="20"/>
        </w:rPr>
        <w:t>x</w:t>
      </w:r>
      <w:r>
        <w:rPr>
          <w:rFonts w:ascii="Verdana" w:hAnsi="Verdana" w:cs="Gotham Light"/>
          <w:spacing w:val="-5"/>
          <w:sz w:val="20"/>
          <w:szCs w:val="20"/>
        </w:rPr>
        <w:t> </w:t>
      </w:r>
      <w:r w:rsidRPr="00F83DE2">
        <w:rPr>
          <w:rFonts w:ascii="Verdana" w:hAnsi="Verdana" w:cs="Gotham Light"/>
          <w:spacing w:val="-5"/>
          <w:sz w:val="20"/>
          <w:szCs w:val="20"/>
        </w:rPr>
        <w:t>1.182</w:t>
      </w:r>
      <w:r>
        <w:rPr>
          <w:rFonts w:ascii="Verdana" w:hAnsi="Verdana" w:cs="Gotham Light"/>
          <w:spacing w:val="-5"/>
          <w:sz w:val="20"/>
          <w:szCs w:val="20"/>
        </w:rPr>
        <w:t> </w:t>
      </w:r>
      <w:r w:rsidRPr="00F83DE2">
        <w:rPr>
          <w:rFonts w:ascii="Verdana" w:hAnsi="Verdana" w:cs="Gotham Light"/>
          <w:spacing w:val="-5"/>
          <w:sz w:val="20"/>
          <w:szCs w:val="20"/>
        </w:rPr>
        <w:t>x</w:t>
      </w:r>
      <w:r>
        <w:rPr>
          <w:rFonts w:ascii="Verdana" w:hAnsi="Verdana" w:cs="Gotham Light"/>
          <w:spacing w:val="-5"/>
          <w:sz w:val="20"/>
          <w:szCs w:val="20"/>
        </w:rPr>
        <w:t> </w:t>
      </w:r>
      <w:r w:rsidRPr="00F83DE2">
        <w:rPr>
          <w:rFonts w:ascii="Verdana" w:hAnsi="Verdana" w:cs="Gotham Light"/>
          <w:spacing w:val="-5"/>
          <w:sz w:val="20"/>
          <w:szCs w:val="20"/>
        </w:rPr>
        <w:t>980</w:t>
      </w:r>
      <w:r>
        <w:rPr>
          <w:rFonts w:ascii="Verdana" w:hAnsi="Verdana" w:cs="Gotham Light"/>
          <w:spacing w:val="-5"/>
          <w:sz w:val="20"/>
          <w:szCs w:val="20"/>
        </w:rPr>
        <w:t> </w:t>
      </w:r>
      <w:r w:rsidRPr="00F83DE2">
        <w:rPr>
          <w:rFonts w:ascii="Verdana" w:hAnsi="Verdana" w:cs="Gotham Light"/>
          <w:spacing w:val="-5"/>
          <w:sz w:val="20"/>
          <w:szCs w:val="20"/>
        </w:rPr>
        <w:t xml:space="preserve">mm (H/B/T). Mit dem als Zubehör erhältlichen Flachdachsockel </w:t>
      </w:r>
      <w:r w:rsidR="004D1BE9">
        <w:rPr>
          <w:rFonts w:ascii="Verdana" w:hAnsi="Verdana" w:cs="Gotham Light"/>
          <w:spacing w:val="-5"/>
          <w:sz w:val="20"/>
          <w:szCs w:val="20"/>
        </w:rPr>
        <w:t>geht</w:t>
      </w:r>
      <w:r w:rsidR="004D1BE9" w:rsidRPr="00F83DE2">
        <w:rPr>
          <w:rFonts w:ascii="Verdana" w:hAnsi="Verdana" w:cs="Gotham Light"/>
          <w:spacing w:val="-5"/>
          <w:sz w:val="20"/>
          <w:szCs w:val="20"/>
        </w:rPr>
        <w:t xml:space="preserve"> </w:t>
      </w:r>
      <w:r w:rsidRPr="00F83DE2">
        <w:rPr>
          <w:rFonts w:ascii="Verdana" w:hAnsi="Verdana" w:cs="Gotham Light"/>
          <w:spacing w:val="-5"/>
          <w:sz w:val="20"/>
          <w:szCs w:val="20"/>
        </w:rPr>
        <w:t xml:space="preserve">eine Aufstellung auf dem Flachdach </w:t>
      </w:r>
      <w:r w:rsidR="003F50CD">
        <w:rPr>
          <w:rFonts w:ascii="Verdana" w:hAnsi="Verdana" w:cs="Gotham Light"/>
          <w:spacing w:val="-5"/>
          <w:sz w:val="20"/>
          <w:szCs w:val="20"/>
        </w:rPr>
        <w:t>leicht</w:t>
      </w:r>
      <w:r w:rsidR="004D1BE9">
        <w:rPr>
          <w:rFonts w:ascii="Verdana" w:hAnsi="Verdana" w:cs="Gotham Light"/>
          <w:spacing w:val="-5"/>
          <w:sz w:val="20"/>
          <w:szCs w:val="20"/>
        </w:rPr>
        <w:t xml:space="preserve"> vonstatten</w:t>
      </w:r>
      <w:r w:rsidRPr="00F83DE2">
        <w:rPr>
          <w:rFonts w:ascii="Verdana" w:hAnsi="Verdana" w:cs="Gotham Light"/>
          <w:spacing w:val="-5"/>
          <w:sz w:val="20"/>
          <w:szCs w:val="20"/>
        </w:rPr>
        <w:t>.</w:t>
      </w:r>
    </w:p>
    <w:p w14:paraId="7E975B89" w14:textId="77777777" w:rsidR="00F83DE2" w:rsidRPr="00F83DE2" w:rsidRDefault="00F83DE2" w:rsidP="00F83DE2">
      <w:pPr>
        <w:autoSpaceDE w:val="0"/>
        <w:autoSpaceDN w:val="0"/>
        <w:adjustRightInd w:val="0"/>
        <w:spacing w:line="288" w:lineRule="auto"/>
        <w:ind w:left="0" w:right="-573"/>
        <w:rPr>
          <w:rFonts w:ascii="Verdana" w:hAnsi="Verdana" w:cs="Gotham Light"/>
          <w:spacing w:val="-5"/>
          <w:sz w:val="20"/>
          <w:szCs w:val="20"/>
        </w:rPr>
      </w:pPr>
    </w:p>
    <w:p w14:paraId="553AB739" w14:textId="2B846556" w:rsidR="005C6A89" w:rsidRDefault="00F83DE2" w:rsidP="00F83DE2">
      <w:pPr>
        <w:autoSpaceDE w:val="0"/>
        <w:autoSpaceDN w:val="0"/>
        <w:adjustRightInd w:val="0"/>
        <w:spacing w:line="288" w:lineRule="auto"/>
        <w:ind w:left="0" w:right="-573"/>
        <w:rPr>
          <w:rFonts w:ascii="Verdana" w:hAnsi="Verdana" w:cs="Gotham Light"/>
          <w:spacing w:val="-5"/>
          <w:sz w:val="20"/>
          <w:szCs w:val="20"/>
        </w:rPr>
      </w:pPr>
      <w:r w:rsidRPr="00F83DE2">
        <w:rPr>
          <w:rFonts w:ascii="Verdana" w:hAnsi="Verdana" w:cs="Gotham Light"/>
          <w:spacing w:val="-5"/>
          <w:sz w:val="20"/>
          <w:szCs w:val="20"/>
        </w:rPr>
        <w:t xml:space="preserve">Die BLW-C NEO 25 B </w:t>
      </w:r>
      <w:r w:rsidR="00FD71DE">
        <w:rPr>
          <w:rFonts w:ascii="Verdana" w:hAnsi="Verdana" w:cs="Gotham Light"/>
          <w:spacing w:val="-5"/>
          <w:sz w:val="20"/>
          <w:szCs w:val="20"/>
        </w:rPr>
        <w:t>ermöglicht</w:t>
      </w:r>
      <w:r w:rsidR="00DE3FA8" w:rsidRPr="00F83DE2">
        <w:rPr>
          <w:rFonts w:ascii="Verdana" w:hAnsi="Verdana" w:cs="Gotham Light"/>
          <w:spacing w:val="-5"/>
          <w:sz w:val="20"/>
          <w:szCs w:val="20"/>
        </w:rPr>
        <w:t xml:space="preserve"> </w:t>
      </w:r>
      <w:r w:rsidRPr="00F83DE2">
        <w:rPr>
          <w:rFonts w:ascii="Verdana" w:hAnsi="Verdana" w:cs="Gotham Light"/>
          <w:spacing w:val="-5"/>
          <w:sz w:val="20"/>
          <w:szCs w:val="20"/>
        </w:rPr>
        <w:t>vielseitige Lösungen für unterschiedlichste Anforderungen im Heiz- und Kühlbereich. Sie ist ab sofort über den Großhandel erhältlich.</w:t>
      </w:r>
    </w:p>
    <w:p w14:paraId="3FC197F5" w14:textId="05D4F153" w:rsidR="0037177F" w:rsidRPr="005C6A89" w:rsidRDefault="0037177F" w:rsidP="0037177F">
      <w:pPr>
        <w:autoSpaceDE w:val="0"/>
        <w:autoSpaceDN w:val="0"/>
        <w:adjustRightInd w:val="0"/>
        <w:spacing w:line="288" w:lineRule="auto"/>
        <w:ind w:left="0" w:right="-573"/>
        <w:rPr>
          <w:rFonts w:ascii="Verdana" w:hAnsi="Verdana" w:cs="Gotham Light"/>
          <w:spacing w:val="-5"/>
          <w:sz w:val="20"/>
          <w:szCs w:val="20"/>
        </w:rPr>
      </w:pPr>
      <w:r w:rsidRPr="005C6A89">
        <w:rPr>
          <w:rFonts w:ascii="Verdana" w:hAnsi="Verdana" w:cs="Gotham Light"/>
          <w:b/>
          <w:bCs/>
          <w:spacing w:val="-5"/>
          <w:sz w:val="20"/>
          <w:szCs w:val="20"/>
        </w:rPr>
        <w:br w:type="page"/>
      </w:r>
    </w:p>
    <w:p w14:paraId="7DB17479" w14:textId="18EFBA0F"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lastRenderedPageBreak/>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1A2082">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August </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 xml:space="preserv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89142C" w:rsidP="0089142C">
      <w:pPr>
        <w:autoSpaceDE w:val="0"/>
        <w:autoSpaceDN w:val="0"/>
        <w:adjustRightInd w:val="0"/>
        <w:spacing w:line="288" w:lineRule="auto"/>
        <w:ind w:left="0" w:right="-573"/>
        <w:rPr>
          <w:rFonts w:ascii="Verdana" w:hAnsi="Verdana" w:cs="Gotham Light"/>
          <w:spacing w:val="-5"/>
          <w:sz w:val="20"/>
          <w:szCs w:val="20"/>
        </w:rPr>
      </w:pPr>
      <w:hyperlink r:id="rId16" w:history="1">
        <w:r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 xml:space="preserve">In der </w:t>
      </w:r>
      <w:proofErr w:type="spellStart"/>
      <w:r w:rsidRPr="006A6A4B">
        <w:rPr>
          <w:rFonts w:ascii="Verdana" w:hAnsi="Verdana" w:cs="Gotham Light"/>
          <w:spacing w:val="-5"/>
          <w:sz w:val="20"/>
          <w:szCs w:val="20"/>
        </w:rPr>
        <w:t>Büg</w:t>
      </w:r>
      <w:proofErr w:type="spellEnd"/>
      <w:r w:rsidRPr="006A6A4B">
        <w:rPr>
          <w:rFonts w:ascii="Verdana" w:hAnsi="Verdana" w:cs="Gotham Light"/>
          <w:spacing w:val="-5"/>
          <w:sz w:val="20"/>
          <w:szCs w:val="20"/>
        </w:rPr>
        <w:t xml:space="preserve">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695380" w:rsidP="00E20F03">
      <w:pPr>
        <w:autoSpaceDE w:val="0"/>
        <w:autoSpaceDN w:val="0"/>
        <w:adjustRightInd w:val="0"/>
        <w:spacing w:line="288" w:lineRule="auto"/>
        <w:ind w:left="0" w:right="-573"/>
        <w:rPr>
          <w:rFonts w:ascii="Verdana" w:hAnsi="Verdana" w:cs="Gotham Light"/>
          <w:spacing w:val="-5"/>
          <w:sz w:val="20"/>
          <w:szCs w:val="20"/>
        </w:rPr>
      </w:pPr>
      <w:hyperlink r:id="rId17" w:history="1">
        <w:r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9458D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1A41CCC5" w14:textId="77777777" w:rsidR="00352215" w:rsidRPr="00833697" w:rsidRDefault="00352215" w:rsidP="00E20F03">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 xml:space="preserve">Über die August </w:t>
      </w:r>
      <w:proofErr w:type="spellStart"/>
      <w:r w:rsidRPr="00833697">
        <w:rPr>
          <w:rFonts w:ascii="Verdana" w:hAnsi="Verdana" w:cs="Gotham Light"/>
          <w:b/>
          <w:bCs/>
          <w:spacing w:val="-5"/>
          <w:sz w:val="20"/>
          <w:szCs w:val="20"/>
        </w:rPr>
        <w:t>Brötje</w:t>
      </w:r>
      <w:proofErr w:type="spellEnd"/>
      <w:r w:rsidRPr="00833697">
        <w:rPr>
          <w:rFonts w:ascii="Verdana" w:hAnsi="Verdana" w:cs="Gotham Light"/>
          <w:b/>
          <w:bCs/>
          <w:spacing w:val="-5"/>
          <w:sz w:val="20"/>
          <w:szCs w:val="20"/>
        </w:rPr>
        <w:t xml:space="preserv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7FAA21C1"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proofErr w:type="spellStart"/>
      <w:r w:rsidRPr="004816CA">
        <w:rPr>
          <w:rFonts w:ascii="Verdana" w:hAnsi="Verdana" w:cs="Gotham Light"/>
          <w:spacing w:val="-5"/>
          <w:sz w:val="20"/>
          <w:szCs w:val="20"/>
        </w:rPr>
        <w:t>über</w:t>
      </w:r>
      <w:proofErr w:type="spellEnd"/>
      <w:r w:rsidRPr="004816CA">
        <w:rPr>
          <w:rFonts w:ascii="Verdana" w:hAnsi="Verdana" w:cs="Gotham Light"/>
          <w:spacing w:val="-5"/>
          <w:sz w:val="20"/>
          <w:szCs w:val="20"/>
        </w:rPr>
        <w:t xml:space="preserve">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841130">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Thermea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22178BB7" w14:textId="188A4177" w:rsidR="00352215" w:rsidRDefault="00352215" w:rsidP="00E20F03">
      <w:pPr>
        <w:autoSpaceDE w:val="0"/>
        <w:autoSpaceDN w:val="0"/>
        <w:adjustRightInd w:val="0"/>
        <w:spacing w:line="288" w:lineRule="auto"/>
        <w:ind w:left="0" w:right="-573"/>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8" w:history="1">
        <w:r w:rsidR="00040991" w:rsidRPr="009342D7">
          <w:rPr>
            <w:rStyle w:val="Hyperlink"/>
            <w:rFonts w:ascii="Verdana" w:hAnsi="Verdana" w:cs="Gotham Light"/>
            <w:spacing w:val="-5"/>
            <w:sz w:val="20"/>
            <w:szCs w:val="20"/>
          </w:rPr>
          <w:t>www.broetje.de</w:t>
        </w:r>
      </w:hyperlink>
    </w:p>
    <w:p w14:paraId="3C1AC674" w14:textId="77777777" w:rsidR="0075136C" w:rsidRDefault="0075136C" w:rsidP="00E20F03">
      <w:pPr>
        <w:autoSpaceDE w:val="0"/>
        <w:autoSpaceDN w:val="0"/>
        <w:adjustRightInd w:val="0"/>
        <w:ind w:left="0" w:right="-172"/>
        <w:rPr>
          <w:rFonts w:ascii="Verdana" w:hAnsi="Verdana" w:cs="Arial"/>
          <w:sz w:val="20"/>
          <w:szCs w:val="20"/>
        </w:rPr>
      </w:pPr>
    </w:p>
    <w:p w14:paraId="09AB535D" w14:textId="77777777" w:rsidR="00955894" w:rsidRDefault="00955894" w:rsidP="00E20F03">
      <w:pPr>
        <w:autoSpaceDE w:val="0"/>
        <w:autoSpaceDN w:val="0"/>
        <w:adjustRightInd w:val="0"/>
        <w:ind w:left="0" w:right="-172"/>
        <w:rPr>
          <w:rFonts w:ascii="Verdana" w:hAnsi="Verdana" w:cs="Arial"/>
          <w:sz w:val="20"/>
          <w:szCs w:val="20"/>
        </w:rPr>
      </w:pPr>
    </w:p>
    <w:p w14:paraId="6D2D573D" w14:textId="77777777" w:rsidR="00955894" w:rsidRDefault="00955894" w:rsidP="00E20F03">
      <w:pPr>
        <w:autoSpaceDE w:val="0"/>
        <w:autoSpaceDN w:val="0"/>
        <w:adjustRightInd w:val="0"/>
        <w:ind w:left="0" w:right="-172"/>
        <w:rPr>
          <w:rFonts w:ascii="Verdana" w:hAnsi="Verdana" w:cs="Arial"/>
          <w:sz w:val="20"/>
          <w:szCs w:val="20"/>
        </w:rPr>
      </w:pPr>
    </w:p>
    <w:p w14:paraId="77898BD6" w14:textId="77777777" w:rsidR="0037177F" w:rsidRDefault="0037177F" w:rsidP="00E20F03">
      <w:pPr>
        <w:autoSpaceDE w:val="0"/>
        <w:autoSpaceDN w:val="0"/>
        <w:adjustRightInd w:val="0"/>
        <w:ind w:left="0" w:right="-172"/>
        <w:rPr>
          <w:rFonts w:ascii="Verdana" w:hAnsi="Verdana" w:cs="Arial"/>
          <w:sz w:val="20"/>
          <w:szCs w:val="20"/>
        </w:rPr>
      </w:pPr>
    </w:p>
    <w:p w14:paraId="48377447" w14:textId="77777777" w:rsidR="0037177F" w:rsidRDefault="0037177F" w:rsidP="00E20F03">
      <w:pPr>
        <w:autoSpaceDE w:val="0"/>
        <w:autoSpaceDN w:val="0"/>
        <w:adjustRightInd w:val="0"/>
        <w:ind w:left="0" w:right="-172"/>
        <w:rPr>
          <w:rFonts w:ascii="Verdana" w:hAnsi="Verdana" w:cs="Arial"/>
          <w:sz w:val="20"/>
          <w:szCs w:val="20"/>
        </w:rPr>
      </w:pPr>
    </w:p>
    <w:p w14:paraId="1E8F1F5B" w14:textId="77777777" w:rsidR="0037177F" w:rsidRDefault="0037177F" w:rsidP="00E20F03">
      <w:pPr>
        <w:autoSpaceDE w:val="0"/>
        <w:autoSpaceDN w:val="0"/>
        <w:adjustRightInd w:val="0"/>
        <w:ind w:left="0" w:right="-172"/>
        <w:rPr>
          <w:rFonts w:ascii="Verdana" w:hAnsi="Verdana" w:cs="Arial"/>
          <w:sz w:val="20"/>
          <w:szCs w:val="20"/>
        </w:rPr>
      </w:pPr>
    </w:p>
    <w:p w14:paraId="2699245B" w14:textId="77777777" w:rsidR="0037177F" w:rsidRDefault="0037177F" w:rsidP="00E20F03">
      <w:pPr>
        <w:autoSpaceDE w:val="0"/>
        <w:autoSpaceDN w:val="0"/>
        <w:adjustRightInd w:val="0"/>
        <w:ind w:left="0" w:right="-172"/>
        <w:rPr>
          <w:rFonts w:ascii="Verdana" w:hAnsi="Verdana" w:cs="Arial"/>
          <w:sz w:val="20"/>
          <w:szCs w:val="20"/>
        </w:rPr>
      </w:pPr>
    </w:p>
    <w:p w14:paraId="19C8B318" w14:textId="77777777" w:rsidR="0037177F" w:rsidRDefault="0037177F" w:rsidP="00E20F03">
      <w:pPr>
        <w:autoSpaceDE w:val="0"/>
        <w:autoSpaceDN w:val="0"/>
        <w:adjustRightInd w:val="0"/>
        <w:ind w:left="0" w:right="-172"/>
        <w:rPr>
          <w:rFonts w:ascii="Verdana" w:hAnsi="Verdana" w:cs="Arial"/>
          <w:sz w:val="20"/>
          <w:szCs w:val="20"/>
        </w:rPr>
      </w:pPr>
    </w:p>
    <w:p w14:paraId="093EBCA6" w14:textId="77777777" w:rsidR="0037177F" w:rsidRDefault="0037177F" w:rsidP="00E20F03">
      <w:pPr>
        <w:autoSpaceDE w:val="0"/>
        <w:autoSpaceDN w:val="0"/>
        <w:adjustRightInd w:val="0"/>
        <w:ind w:left="0" w:right="-172"/>
        <w:rPr>
          <w:rFonts w:ascii="Verdana" w:hAnsi="Verdana" w:cs="Arial"/>
          <w:sz w:val="20"/>
          <w:szCs w:val="20"/>
        </w:rPr>
      </w:pPr>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1C36FD4E" w14:textId="77777777" w:rsidR="00955894" w:rsidRDefault="00955894" w:rsidP="00E20F03">
      <w:pPr>
        <w:autoSpaceDE w:val="0"/>
        <w:autoSpaceDN w:val="0"/>
        <w:adjustRightInd w:val="0"/>
        <w:ind w:left="0" w:right="-172"/>
        <w:rPr>
          <w:rFonts w:ascii="Verdana" w:hAnsi="Verdana" w:cs="Arial"/>
          <w:sz w:val="20"/>
          <w:szCs w:val="20"/>
        </w:rPr>
      </w:pPr>
    </w:p>
    <w:p w14:paraId="180832B3" w14:textId="77777777" w:rsidR="00955894" w:rsidRDefault="00955894"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232898B7"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w:t>
      </w:r>
      <w:r w:rsidR="00EF0C7E">
        <w:rPr>
          <w:rFonts w:ascii="Verdana" w:hAnsi="Verdana" w:cs="Arial"/>
          <w:sz w:val="20"/>
          <w:szCs w:val="20"/>
        </w:rPr>
        <w:t>5</w:t>
      </w:r>
      <w:r w:rsidR="0017233A">
        <w:rPr>
          <w:rFonts w:ascii="Verdana" w:hAnsi="Verdana" w:cs="Arial"/>
          <w:sz w:val="20"/>
          <w:szCs w:val="20"/>
        </w:rPr>
        <w:t>00</w:t>
      </w:r>
      <w:r w:rsidR="00F83518">
        <w:rPr>
          <w:rFonts w:ascii="Verdana" w:hAnsi="Verdana" w:cs="Arial"/>
          <w:sz w:val="20"/>
          <w:szCs w:val="20"/>
        </w:rPr>
        <w:t>4</w:t>
      </w:r>
    </w:p>
    <w:sectPr w:rsidR="00352215" w:rsidRPr="00E83FE0" w:rsidSect="00A31815">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13DFE9" w14:textId="77777777" w:rsidR="005E2E26" w:rsidRDefault="005E2E26" w:rsidP="00CD6758">
      <w:r>
        <w:separator/>
      </w:r>
    </w:p>
  </w:endnote>
  <w:endnote w:type="continuationSeparator" w:id="0">
    <w:p w14:paraId="27FC8424" w14:textId="77777777" w:rsidR="005E2E26" w:rsidRDefault="005E2E26" w:rsidP="00CD6758">
      <w:r>
        <w:continuationSeparator/>
      </w:r>
    </w:p>
  </w:endnote>
  <w:endnote w:type="continuationNotice" w:id="1">
    <w:p w14:paraId="7312C62E" w14:textId="77777777" w:rsidR="005E2E26" w:rsidRDefault="005E2E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725835136"/>
      <w:docPartObj>
        <w:docPartGallery w:val="Page Numbers (Bottom of Page)"/>
        <w:docPartUnique/>
      </w:docPartObj>
    </w:sdt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1935827941" name="Grafik 1935827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1474677451" name="Grafik 147467745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861269" w14:textId="77777777" w:rsidR="005E2E26" w:rsidRDefault="005E2E26" w:rsidP="00CD6758">
      <w:r>
        <w:separator/>
      </w:r>
    </w:p>
  </w:footnote>
  <w:footnote w:type="continuationSeparator" w:id="0">
    <w:p w14:paraId="7BD1C252" w14:textId="77777777" w:rsidR="005E2E26" w:rsidRDefault="005E2E26" w:rsidP="00CD6758">
      <w:r>
        <w:continuationSeparator/>
      </w:r>
    </w:p>
  </w:footnote>
  <w:footnote w:type="continuationNotice" w:id="1">
    <w:p w14:paraId="03803757" w14:textId="77777777" w:rsidR="005E2E26" w:rsidRDefault="005E2E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1608554947" name="Grafik 1608554947"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66B65" id="_x0000_t202" coordsize="21600,21600" o:spt="202" path="m,l,21600r21600,l21600,xe">
              <v:stroke joinstyle="miter"/>
              <v:path gradientshapeok="t" o:connecttype="rect"/>
            </v:shapetype>
            <v:shape id="Textfeld 2" o:spid="_x0000_s1027"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1903922627" name="Grafik 1903922627"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76A4"/>
    <w:rsid w:val="0005308C"/>
    <w:rsid w:val="000602B6"/>
    <w:rsid w:val="00072892"/>
    <w:rsid w:val="0007780A"/>
    <w:rsid w:val="000A023D"/>
    <w:rsid w:val="000D6582"/>
    <w:rsid w:val="000E7281"/>
    <w:rsid w:val="000F39E8"/>
    <w:rsid w:val="000F531A"/>
    <w:rsid w:val="00101688"/>
    <w:rsid w:val="00110F1C"/>
    <w:rsid w:val="00116842"/>
    <w:rsid w:val="00130406"/>
    <w:rsid w:val="001311C8"/>
    <w:rsid w:val="001471D0"/>
    <w:rsid w:val="0015085D"/>
    <w:rsid w:val="00155DAB"/>
    <w:rsid w:val="0016138D"/>
    <w:rsid w:val="0016226F"/>
    <w:rsid w:val="0017233A"/>
    <w:rsid w:val="00173567"/>
    <w:rsid w:val="001744D2"/>
    <w:rsid w:val="001750E2"/>
    <w:rsid w:val="0018047C"/>
    <w:rsid w:val="00193E30"/>
    <w:rsid w:val="001A2082"/>
    <w:rsid w:val="001A269E"/>
    <w:rsid w:val="001B417D"/>
    <w:rsid w:val="001C4010"/>
    <w:rsid w:val="001D6F8C"/>
    <w:rsid w:val="002000E6"/>
    <w:rsid w:val="002152BE"/>
    <w:rsid w:val="00244A40"/>
    <w:rsid w:val="0024589E"/>
    <w:rsid w:val="002503C5"/>
    <w:rsid w:val="00271AEF"/>
    <w:rsid w:val="002749BA"/>
    <w:rsid w:val="0027668E"/>
    <w:rsid w:val="0028353F"/>
    <w:rsid w:val="002A5D8D"/>
    <w:rsid w:val="002B6089"/>
    <w:rsid w:val="002C29B7"/>
    <w:rsid w:val="002C39D0"/>
    <w:rsid w:val="002C51A0"/>
    <w:rsid w:val="002C5814"/>
    <w:rsid w:val="002E15AC"/>
    <w:rsid w:val="002E7B29"/>
    <w:rsid w:val="00301ADD"/>
    <w:rsid w:val="003163F3"/>
    <w:rsid w:val="00332E1A"/>
    <w:rsid w:val="00335FC1"/>
    <w:rsid w:val="00337A55"/>
    <w:rsid w:val="00341F6E"/>
    <w:rsid w:val="00352215"/>
    <w:rsid w:val="003636DC"/>
    <w:rsid w:val="0037177F"/>
    <w:rsid w:val="003767D4"/>
    <w:rsid w:val="003C4D23"/>
    <w:rsid w:val="003D24B4"/>
    <w:rsid w:val="003D3865"/>
    <w:rsid w:val="003E29CB"/>
    <w:rsid w:val="003F3458"/>
    <w:rsid w:val="003F50CD"/>
    <w:rsid w:val="00403E68"/>
    <w:rsid w:val="00407AF1"/>
    <w:rsid w:val="00416A99"/>
    <w:rsid w:val="00420F46"/>
    <w:rsid w:val="0042217B"/>
    <w:rsid w:val="00426CE6"/>
    <w:rsid w:val="00431E44"/>
    <w:rsid w:val="00431F0F"/>
    <w:rsid w:val="00433CFD"/>
    <w:rsid w:val="00433F54"/>
    <w:rsid w:val="00467BEB"/>
    <w:rsid w:val="00477070"/>
    <w:rsid w:val="00484EF9"/>
    <w:rsid w:val="00485781"/>
    <w:rsid w:val="00485E76"/>
    <w:rsid w:val="00494447"/>
    <w:rsid w:val="004A78B8"/>
    <w:rsid w:val="004C1D97"/>
    <w:rsid w:val="004D1B6B"/>
    <w:rsid w:val="004D1BE9"/>
    <w:rsid w:val="005058D2"/>
    <w:rsid w:val="005059A1"/>
    <w:rsid w:val="00517AE3"/>
    <w:rsid w:val="00533D84"/>
    <w:rsid w:val="005513E9"/>
    <w:rsid w:val="00552623"/>
    <w:rsid w:val="005574D9"/>
    <w:rsid w:val="00567767"/>
    <w:rsid w:val="00576160"/>
    <w:rsid w:val="00582F3F"/>
    <w:rsid w:val="00583785"/>
    <w:rsid w:val="0058545C"/>
    <w:rsid w:val="00590E14"/>
    <w:rsid w:val="00593CB3"/>
    <w:rsid w:val="005A2FA8"/>
    <w:rsid w:val="005A45AD"/>
    <w:rsid w:val="005A4A93"/>
    <w:rsid w:val="005A739C"/>
    <w:rsid w:val="005B3C82"/>
    <w:rsid w:val="005C0D0D"/>
    <w:rsid w:val="005C6A89"/>
    <w:rsid w:val="005D1B23"/>
    <w:rsid w:val="005D77DE"/>
    <w:rsid w:val="005E2E26"/>
    <w:rsid w:val="005E4E45"/>
    <w:rsid w:val="005F3A29"/>
    <w:rsid w:val="00602F6D"/>
    <w:rsid w:val="006234AE"/>
    <w:rsid w:val="00624CC4"/>
    <w:rsid w:val="00633B4A"/>
    <w:rsid w:val="00642B29"/>
    <w:rsid w:val="006432BC"/>
    <w:rsid w:val="006479C0"/>
    <w:rsid w:val="006554E0"/>
    <w:rsid w:val="00671E3F"/>
    <w:rsid w:val="006913F0"/>
    <w:rsid w:val="00695380"/>
    <w:rsid w:val="0069654B"/>
    <w:rsid w:val="006A3E05"/>
    <w:rsid w:val="006A6A4B"/>
    <w:rsid w:val="006B1A88"/>
    <w:rsid w:val="006C4B8B"/>
    <w:rsid w:val="006C7766"/>
    <w:rsid w:val="006D09EB"/>
    <w:rsid w:val="006E1B52"/>
    <w:rsid w:val="007057A2"/>
    <w:rsid w:val="00736C11"/>
    <w:rsid w:val="007502F0"/>
    <w:rsid w:val="0075136C"/>
    <w:rsid w:val="007600CB"/>
    <w:rsid w:val="00760E63"/>
    <w:rsid w:val="007733BB"/>
    <w:rsid w:val="0078638E"/>
    <w:rsid w:val="007952D1"/>
    <w:rsid w:val="007A0059"/>
    <w:rsid w:val="007A04C2"/>
    <w:rsid w:val="007B5097"/>
    <w:rsid w:val="007D342C"/>
    <w:rsid w:val="007E41FD"/>
    <w:rsid w:val="008118EE"/>
    <w:rsid w:val="00812705"/>
    <w:rsid w:val="00826647"/>
    <w:rsid w:val="00833697"/>
    <w:rsid w:val="00841130"/>
    <w:rsid w:val="008416A8"/>
    <w:rsid w:val="00842555"/>
    <w:rsid w:val="00853E54"/>
    <w:rsid w:val="008623F2"/>
    <w:rsid w:val="0087180F"/>
    <w:rsid w:val="00875FC5"/>
    <w:rsid w:val="00886539"/>
    <w:rsid w:val="0088725B"/>
    <w:rsid w:val="0089142C"/>
    <w:rsid w:val="00892C48"/>
    <w:rsid w:val="008934E3"/>
    <w:rsid w:val="00897B68"/>
    <w:rsid w:val="008A10D8"/>
    <w:rsid w:val="008B1AAD"/>
    <w:rsid w:val="008C4C21"/>
    <w:rsid w:val="008D7F1D"/>
    <w:rsid w:val="008F46AC"/>
    <w:rsid w:val="00905FD3"/>
    <w:rsid w:val="00906710"/>
    <w:rsid w:val="00911C09"/>
    <w:rsid w:val="00914BDD"/>
    <w:rsid w:val="0092552B"/>
    <w:rsid w:val="00927EE0"/>
    <w:rsid w:val="009303B3"/>
    <w:rsid w:val="00942DE2"/>
    <w:rsid w:val="009458D6"/>
    <w:rsid w:val="0095063A"/>
    <w:rsid w:val="0095499A"/>
    <w:rsid w:val="00955894"/>
    <w:rsid w:val="00982EAA"/>
    <w:rsid w:val="009950CD"/>
    <w:rsid w:val="0099671D"/>
    <w:rsid w:val="009A2AD3"/>
    <w:rsid w:val="009A75F5"/>
    <w:rsid w:val="009B1114"/>
    <w:rsid w:val="009B18AB"/>
    <w:rsid w:val="009D2BA8"/>
    <w:rsid w:val="009D3F4A"/>
    <w:rsid w:val="00A00264"/>
    <w:rsid w:val="00A17B2A"/>
    <w:rsid w:val="00A20964"/>
    <w:rsid w:val="00A24859"/>
    <w:rsid w:val="00A31815"/>
    <w:rsid w:val="00A33953"/>
    <w:rsid w:val="00A441B0"/>
    <w:rsid w:val="00A53279"/>
    <w:rsid w:val="00A5477D"/>
    <w:rsid w:val="00A5595E"/>
    <w:rsid w:val="00AC4911"/>
    <w:rsid w:val="00AD3D39"/>
    <w:rsid w:val="00AD3E61"/>
    <w:rsid w:val="00AD447B"/>
    <w:rsid w:val="00AE7250"/>
    <w:rsid w:val="00B11191"/>
    <w:rsid w:val="00B21DD8"/>
    <w:rsid w:val="00B37416"/>
    <w:rsid w:val="00B53BE4"/>
    <w:rsid w:val="00B64106"/>
    <w:rsid w:val="00B85E11"/>
    <w:rsid w:val="00B9513D"/>
    <w:rsid w:val="00B95390"/>
    <w:rsid w:val="00B968B1"/>
    <w:rsid w:val="00BB2915"/>
    <w:rsid w:val="00BC2198"/>
    <w:rsid w:val="00BC5658"/>
    <w:rsid w:val="00BC5E32"/>
    <w:rsid w:val="00BE3083"/>
    <w:rsid w:val="00BE7DF0"/>
    <w:rsid w:val="00BF167A"/>
    <w:rsid w:val="00BF445A"/>
    <w:rsid w:val="00BF6B63"/>
    <w:rsid w:val="00C3753E"/>
    <w:rsid w:val="00C42043"/>
    <w:rsid w:val="00C43228"/>
    <w:rsid w:val="00C529AF"/>
    <w:rsid w:val="00C6105E"/>
    <w:rsid w:val="00C64568"/>
    <w:rsid w:val="00C950B4"/>
    <w:rsid w:val="00CA416E"/>
    <w:rsid w:val="00CA46AD"/>
    <w:rsid w:val="00CB4AD2"/>
    <w:rsid w:val="00CB6621"/>
    <w:rsid w:val="00CD6758"/>
    <w:rsid w:val="00CD69E4"/>
    <w:rsid w:val="00CE0312"/>
    <w:rsid w:val="00CE341A"/>
    <w:rsid w:val="00CE5549"/>
    <w:rsid w:val="00D108B6"/>
    <w:rsid w:val="00D2662B"/>
    <w:rsid w:val="00D3054B"/>
    <w:rsid w:val="00D71FF6"/>
    <w:rsid w:val="00D72714"/>
    <w:rsid w:val="00D73139"/>
    <w:rsid w:val="00D84CE5"/>
    <w:rsid w:val="00D86EB2"/>
    <w:rsid w:val="00D94E90"/>
    <w:rsid w:val="00DA046B"/>
    <w:rsid w:val="00DA6860"/>
    <w:rsid w:val="00DA6F50"/>
    <w:rsid w:val="00DC38B9"/>
    <w:rsid w:val="00DC5F4E"/>
    <w:rsid w:val="00DD1E2B"/>
    <w:rsid w:val="00DD4377"/>
    <w:rsid w:val="00DE3FA8"/>
    <w:rsid w:val="00DF47B6"/>
    <w:rsid w:val="00DF48ED"/>
    <w:rsid w:val="00DF716F"/>
    <w:rsid w:val="00E0588F"/>
    <w:rsid w:val="00E1129B"/>
    <w:rsid w:val="00E11EC2"/>
    <w:rsid w:val="00E20F03"/>
    <w:rsid w:val="00E357E9"/>
    <w:rsid w:val="00E458A1"/>
    <w:rsid w:val="00E54C5B"/>
    <w:rsid w:val="00E554A6"/>
    <w:rsid w:val="00E62EDF"/>
    <w:rsid w:val="00E64814"/>
    <w:rsid w:val="00E70350"/>
    <w:rsid w:val="00E772E4"/>
    <w:rsid w:val="00E92F3B"/>
    <w:rsid w:val="00EA0137"/>
    <w:rsid w:val="00EA20AB"/>
    <w:rsid w:val="00EA38FC"/>
    <w:rsid w:val="00EB4D84"/>
    <w:rsid w:val="00EB6932"/>
    <w:rsid w:val="00ED6E7E"/>
    <w:rsid w:val="00EE5A8E"/>
    <w:rsid w:val="00EF0C7E"/>
    <w:rsid w:val="00EF6624"/>
    <w:rsid w:val="00EF67D7"/>
    <w:rsid w:val="00F04119"/>
    <w:rsid w:val="00F0655F"/>
    <w:rsid w:val="00F16FEF"/>
    <w:rsid w:val="00F34143"/>
    <w:rsid w:val="00F50966"/>
    <w:rsid w:val="00F56BB5"/>
    <w:rsid w:val="00F83518"/>
    <w:rsid w:val="00F83DE2"/>
    <w:rsid w:val="00F84681"/>
    <w:rsid w:val="00F954F7"/>
    <w:rsid w:val="00FA3AC7"/>
    <w:rsid w:val="00FA69DF"/>
    <w:rsid w:val="00FC4B58"/>
    <w:rsid w:val="00FC5314"/>
    <w:rsid w:val="00FD6FA2"/>
    <w:rsid w:val="00FD71DE"/>
    <w:rsid w:val="00FE33A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D6758"/>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155DAB"/>
    <w:rPr>
      <w:rFonts w:ascii="Arial" w:eastAsia="Times New Roman" w:hAnsi="Arial" w:cs="Times New Roman"/>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broetje.de"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waldecker-pr.de" TargetMode="External"/><Relationship Id="rId2" Type="http://schemas.openxmlformats.org/officeDocument/2006/relationships/customXml" Target="../customXml/item2.xml"/><Relationship Id="rId16" Type="http://schemas.openxmlformats.org/officeDocument/2006/relationships/hyperlink" Target="http://www.broetje.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FCE1744-0B90-41E5-B20E-B91D747A2677}">
  <we:reference id="a6ab5f17-ed7d-4c8a-80f0-5a39579a70a2" version="1.5.0.0" store="EXCatalog" storeType="EXCatalog"/>
  <we:alternateReferences>
    <we:reference id="WA200002017" version="1.5.0.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Props1.xml><?xml version="1.0" encoding="utf-8"?>
<ds:datastoreItem xmlns:ds="http://schemas.openxmlformats.org/officeDocument/2006/customXml" ds:itemID="{D0454E9D-F2D2-41B4-845C-C12C3E3E2DCF}">
  <ds:schemaRefs>
    <ds:schemaRef ds:uri="http://schemas.microsoft.com/sharepoint/v3/contenttype/forms"/>
  </ds:schemaRefs>
</ds:datastoreItem>
</file>

<file path=customXml/itemProps2.xml><?xml version="1.0" encoding="utf-8"?>
<ds:datastoreItem xmlns:ds="http://schemas.openxmlformats.org/officeDocument/2006/customXml" ds:itemID="{32F95848-5BF6-42C5-813D-A7C6844AE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581</Words>
  <Characters>3663</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4236</CharactersWithSpaces>
  <SharedDoc>false</SharedDoc>
  <HLinks>
    <vt:vector size="12" baseType="variant">
      <vt:variant>
        <vt:i4>4128868</vt:i4>
      </vt:variant>
      <vt:variant>
        <vt:i4>3</vt:i4>
      </vt:variant>
      <vt:variant>
        <vt:i4>0</vt:i4>
      </vt:variant>
      <vt:variant>
        <vt:i4>5</vt:i4>
      </vt:variant>
      <vt:variant>
        <vt:lpwstr>https://last-pr.de/</vt:lpwstr>
      </vt:variant>
      <vt:variant>
        <vt:lpwstr/>
      </vt:variant>
      <vt:variant>
        <vt:i4>8257592</vt:i4>
      </vt:variant>
      <vt:variant>
        <vt:i4>0</vt:i4>
      </vt:variant>
      <vt:variant>
        <vt:i4>0</vt:i4>
      </vt:variant>
      <vt:variant>
        <vt:i4>5</vt:i4>
      </vt:variant>
      <vt:variant>
        <vt:lpwstr>https://www.broetje.de/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Stefanie Schetter</cp:lastModifiedBy>
  <cp:revision>4</cp:revision>
  <cp:lastPrinted>2018-08-06T03:43:00Z</cp:lastPrinted>
  <dcterms:created xsi:type="dcterms:W3CDTF">2025-01-22T09:01:00Z</dcterms:created>
  <dcterms:modified xsi:type="dcterms:W3CDTF">2025-01-22T09:17:00Z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